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22" w:rsidRDefault="00F17CCF" w:rsidP="00093F30">
      <w:pPr>
        <w:ind w:left="-567"/>
        <w:rPr>
          <w:b/>
        </w:rPr>
      </w:pPr>
      <w:r>
        <w:rPr>
          <w:b/>
        </w:rPr>
        <w:t xml:space="preserve"> </w:t>
      </w:r>
      <w:r w:rsidR="00CF6722">
        <w:rPr>
          <w:b/>
        </w:rPr>
        <w:tab/>
      </w:r>
      <w:r w:rsidR="00AE4386">
        <w:rPr>
          <w:b/>
        </w:rPr>
        <w:t>Implementation Group: Non-Structural Recommendations Action Plan.</w:t>
      </w:r>
    </w:p>
    <w:p w:rsidR="00CF6722" w:rsidRDefault="00CF6722" w:rsidP="00CF6722">
      <w:pPr>
        <w:rPr>
          <w:b/>
        </w:rPr>
      </w:pPr>
      <w:r>
        <w:t>The following extract is from the Lancashire ABR Report, and details the non-structural recommendations that the steering group committed to</w:t>
      </w:r>
      <w:r w:rsidR="009411C0">
        <w:t xml:space="preserve"> during the process</w:t>
      </w:r>
      <w:r>
        <w:t>.  A Lancashire ABR Implementation Group has been established to oversee the implementation of the Lancashire ABR recommendations.  This plan is a working document which supports the recommendation</w:t>
      </w:r>
      <w:r w:rsidR="009411C0">
        <w:t>s</w:t>
      </w:r>
      <w:r>
        <w:t xml:space="preserve"> in relation</w:t>
      </w:r>
      <w:r w:rsidR="009411C0">
        <w:t xml:space="preserve"> to the non-structural recommendations, including</w:t>
      </w:r>
      <w:r>
        <w:t xml:space="preserve"> the collaborative working model with The Lancashire Colleges (TLC) an</w:t>
      </w:r>
      <w:r w:rsidR="00AE4386">
        <w:t>d key partners and stakeholders</w:t>
      </w:r>
      <w:r w:rsidR="009411C0">
        <w:t>.</w:t>
      </w:r>
      <w:r>
        <w:rPr>
          <w:b/>
        </w:rPr>
        <w:tab/>
      </w:r>
    </w:p>
    <w:p w:rsidR="00093F30" w:rsidRPr="00CF6722" w:rsidRDefault="00093F30" w:rsidP="00CF6722">
      <w:pPr>
        <w:ind w:left="-567" w:firstLine="567"/>
        <w:rPr>
          <w:rFonts w:eastAsia="Arial"/>
          <w:b/>
          <w:color w:val="104F75"/>
        </w:rPr>
      </w:pPr>
      <w:r w:rsidRPr="00CF6722">
        <w:rPr>
          <w:rFonts w:eastAsia="Arial"/>
          <w:b/>
          <w:color w:val="104F75"/>
        </w:rPr>
        <w:t>Implementation group</w:t>
      </w:r>
    </w:p>
    <w:p w:rsidR="00093F30" w:rsidRPr="00CF6722" w:rsidRDefault="00093F30" w:rsidP="00093F30">
      <w:pPr>
        <w:pStyle w:val="ListBullet"/>
        <w:numPr>
          <w:ilvl w:val="0"/>
          <w:numId w:val="0"/>
        </w:numPr>
        <w:spacing w:after="0"/>
        <w:jc w:val="both"/>
        <w:rPr>
          <w:rFonts w:asciiTheme="minorHAnsi" w:eastAsia="Arial" w:hAnsiTheme="minorHAnsi"/>
          <w:sz w:val="22"/>
          <w:szCs w:val="22"/>
        </w:rPr>
      </w:pPr>
      <w:r w:rsidRPr="00CF6722">
        <w:rPr>
          <w:rFonts w:asciiTheme="minorHAnsi" w:eastAsia="Arial" w:hAnsiTheme="minorHAnsi"/>
          <w:sz w:val="22"/>
          <w:szCs w:val="22"/>
        </w:rPr>
        <w:t xml:space="preserve">The LEP Skills and Employment Board to establish a task and finish group, building on the success of the area review working group, to support, advise and provide oversight of the implementation of the recommendations of this review.  </w:t>
      </w:r>
    </w:p>
    <w:p w:rsidR="00093F30" w:rsidRPr="00CF6722" w:rsidRDefault="00093F30" w:rsidP="00093F30">
      <w:pPr>
        <w:pStyle w:val="ListBullet"/>
        <w:numPr>
          <w:ilvl w:val="0"/>
          <w:numId w:val="0"/>
        </w:numPr>
        <w:spacing w:after="0"/>
        <w:jc w:val="both"/>
        <w:rPr>
          <w:rFonts w:asciiTheme="minorHAnsi" w:eastAsia="Arial" w:hAnsiTheme="minorHAnsi"/>
          <w:sz w:val="22"/>
          <w:szCs w:val="22"/>
        </w:rPr>
      </w:pPr>
      <w:r w:rsidRPr="00CF6722">
        <w:rPr>
          <w:rFonts w:asciiTheme="minorHAnsi" w:eastAsia="Arial" w:hAnsiTheme="minorHAnsi"/>
          <w:sz w:val="22"/>
          <w:szCs w:val="22"/>
        </w:rPr>
        <w:t>It is anticipated that the group will conclude its work by December 2017, it will:</w:t>
      </w:r>
      <w:bookmarkStart w:id="0" w:name="_GoBack"/>
      <w:bookmarkEnd w:id="0"/>
    </w:p>
    <w:p w:rsidR="00093F30" w:rsidRPr="00CF6722" w:rsidRDefault="00093F30" w:rsidP="00093F30">
      <w:pPr>
        <w:pStyle w:val="ListBullet"/>
        <w:numPr>
          <w:ilvl w:val="0"/>
          <w:numId w:val="12"/>
        </w:numPr>
        <w:spacing w:after="0" w:line="240" w:lineRule="auto"/>
        <w:contextualSpacing w:val="0"/>
        <w:jc w:val="both"/>
        <w:rPr>
          <w:rFonts w:asciiTheme="minorHAnsi" w:eastAsia="Arial" w:hAnsiTheme="minorHAnsi"/>
          <w:sz w:val="22"/>
          <w:szCs w:val="22"/>
        </w:rPr>
      </w:pPr>
      <w:r w:rsidRPr="00CF6722">
        <w:rPr>
          <w:rFonts w:asciiTheme="minorHAnsi" w:eastAsia="Arial" w:hAnsiTheme="minorHAnsi"/>
          <w:sz w:val="22"/>
          <w:szCs w:val="22"/>
        </w:rPr>
        <w:t xml:space="preserve">include representation from the Combined Authority, local authorities, the LEP, The Lancashire Colleges and the </w:t>
      </w:r>
      <w:r w:rsidR="00E55104">
        <w:rPr>
          <w:rFonts w:asciiTheme="minorHAnsi" w:eastAsia="Arial" w:hAnsiTheme="minorHAnsi"/>
          <w:sz w:val="22"/>
          <w:szCs w:val="22"/>
        </w:rPr>
        <w:t>ESFA</w:t>
      </w:r>
      <w:r w:rsidRPr="00CF6722">
        <w:rPr>
          <w:rFonts w:asciiTheme="minorHAnsi" w:eastAsia="Arial" w:hAnsiTheme="minorHAnsi"/>
          <w:sz w:val="22"/>
          <w:szCs w:val="22"/>
        </w:rPr>
        <w:t>, together with any other stakeholders identified during the implementation phase;</w:t>
      </w:r>
    </w:p>
    <w:p w:rsidR="00093F30" w:rsidRPr="00CF6722" w:rsidRDefault="00093F30" w:rsidP="00093F30">
      <w:pPr>
        <w:pStyle w:val="ListBullet"/>
        <w:numPr>
          <w:ilvl w:val="0"/>
          <w:numId w:val="12"/>
        </w:numPr>
        <w:spacing w:after="0" w:line="240" w:lineRule="auto"/>
        <w:contextualSpacing w:val="0"/>
        <w:jc w:val="both"/>
        <w:rPr>
          <w:rFonts w:asciiTheme="minorHAnsi" w:eastAsia="Arial" w:hAnsiTheme="minorHAnsi"/>
          <w:sz w:val="22"/>
          <w:szCs w:val="22"/>
        </w:rPr>
      </w:pPr>
      <w:r w:rsidRPr="00CF6722">
        <w:rPr>
          <w:rFonts w:asciiTheme="minorHAnsi" w:eastAsia="Arial" w:hAnsiTheme="minorHAnsi"/>
          <w:sz w:val="22"/>
          <w:szCs w:val="22"/>
        </w:rPr>
        <w:t xml:space="preserve">lead on the development of an implementation plan to take forward the non-structural recommendations from the review. </w:t>
      </w:r>
    </w:p>
    <w:p w:rsidR="00CF6722" w:rsidRDefault="00CF6722" w:rsidP="00093F30">
      <w:pPr>
        <w:rPr>
          <w:rFonts w:eastAsia="Arial"/>
          <w:b/>
          <w:color w:val="104F75"/>
        </w:rPr>
      </w:pPr>
    </w:p>
    <w:p w:rsidR="00093F30" w:rsidRPr="00CF6722" w:rsidRDefault="00DC0F87" w:rsidP="00093F30">
      <w:pPr>
        <w:rPr>
          <w:rFonts w:eastAsia="Arial"/>
          <w:b/>
          <w:color w:val="104F75"/>
        </w:rPr>
      </w:pPr>
      <w:r w:rsidRPr="00DC0F87">
        <w:rPr>
          <w:rFonts w:ascii="Arial Narrow" w:eastAsia="Arial" w:hAnsi="Arial Narrow"/>
          <w:b/>
          <w:color w:val="104F75"/>
          <w:sz w:val="40"/>
          <w:szCs w:val="40"/>
        </w:rPr>
        <w:t>A</w:t>
      </w:r>
      <w:r>
        <w:rPr>
          <w:rFonts w:ascii="Arial Narrow" w:eastAsia="Arial" w:hAnsi="Arial Narrow"/>
          <w:b/>
          <w:color w:val="104F75"/>
          <w:sz w:val="40"/>
          <w:szCs w:val="40"/>
        </w:rPr>
        <w:t>:</w:t>
      </w:r>
      <w:r>
        <w:rPr>
          <w:rFonts w:eastAsia="Arial"/>
          <w:b/>
          <w:color w:val="104F75"/>
        </w:rPr>
        <w:t xml:space="preserve"> </w:t>
      </w:r>
      <w:r>
        <w:rPr>
          <w:rFonts w:eastAsia="Arial"/>
          <w:b/>
          <w:color w:val="104F75"/>
        </w:rPr>
        <w:tab/>
      </w:r>
      <w:r w:rsidR="00093F30" w:rsidRPr="00CF6722">
        <w:rPr>
          <w:rFonts w:eastAsia="Arial"/>
          <w:b/>
          <w:color w:val="104F75"/>
        </w:rPr>
        <w:t>Pennine Lancashire Strategic Planning Group</w:t>
      </w:r>
    </w:p>
    <w:p w:rsidR="00093F30" w:rsidRPr="00CF6722" w:rsidRDefault="00093F30" w:rsidP="00093F30">
      <w:pPr>
        <w:pStyle w:val="ListBullet"/>
        <w:numPr>
          <w:ilvl w:val="0"/>
          <w:numId w:val="0"/>
        </w:numPr>
        <w:jc w:val="both"/>
        <w:rPr>
          <w:rFonts w:asciiTheme="minorHAnsi" w:eastAsia="Arial" w:hAnsiTheme="minorHAnsi"/>
          <w:sz w:val="22"/>
          <w:szCs w:val="22"/>
        </w:rPr>
      </w:pPr>
      <w:r w:rsidRPr="00CF6722">
        <w:rPr>
          <w:rFonts w:asciiTheme="minorHAnsi" w:eastAsia="Arial" w:hAnsiTheme="minorHAnsi"/>
          <w:sz w:val="22"/>
          <w:szCs w:val="22"/>
        </w:rPr>
        <w:t xml:space="preserve">Recognising the unique characteristics of the Pennine Lancashire area and the merger of Burnley College and Accrington &amp; Rossendale College, it is agreed that a Pennine Strategic Planning Group be created.  This group will support the delivery of the priorities articulated by the Combined Authority and the LEP and the alignment of a quality curriculum offer with local educational, economic and labour market needs. </w:t>
      </w:r>
    </w:p>
    <w:p w:rsidR="00093F30" w:rsidRPr="00CF6722" w:rsidRDefault="00093F30" w:rsidP="00093F30">
      <w:pPr>
        <w:pStyle w:val="ListBullet"/>
        <w:numPr>
          <w:ilvl w:val="0"/>
          <w:numId w:val="0"/>
        </w:numPr>
        <w:jc w:val="both"/>
        <w:rPr>
          <w:rFonts w:asciiTheme="minorHAnsi" w:eastAsia="Arial" w:hAnsiTheme="minorHAnsi"/>
          <w:sz w:val="22"/>
          <w:szCs w:val="22"/>
        </w:rPr>
      </w:pPr>
      <w:r w:rsidRPr="00CF6722">
        <w:rPr>
          <w:rFonts w:asciiTheme="minorHAnsi" w:eastAsia="Arial" w:hAnsiTheme="minorHAnsi"/>
          <w:sz w:val="22"/>
          <w:szCs w:val="22"/>
        </w:rPr>
        <w:t>The group will:</w:t>
      </w:r>
    </w:p>
    <w:p w:rsidR="00093F30" w:rsidRPr="00CF6722" w:rsidRDefault="00093F30" w:rsidP="00093F30">
      <w:pPr>
        <w:pStyle w:val="ListBullet"/>
        <w:numPr>
          <w:ilvl w:val="0"/>
          <w:numId w:val="13"/>
        </w:numPr>
        <w:spacing w:after="0" w:line="240" w:lineRule="auto"/>
        <w:ind w:left="499" w:hanging="357"/>
        <w:contextualSpacing w:val="0"/>
        <w:jc w:val="both"/>
        <w:rPr>
          <w:rFonts w:asciiTheme="minorHAnsi" w:eastAsia="Arial" w:hAnsiTheme="minorHAnsi"/>
          <w:sz w:val="22"/>
          <w:szCs w:val="22"/>
        </w:rPr>
      </w:pPr>
      <w:r w:rsidRPr="00CF6722">
        <w:rPr>
          <w:rFonts w:asciiTheme="minorHAnsi" w:eastAsia="Arial" w:hAnsiTheme="minorHAnsi"/>
          <w:sz w:val="22"/>
          <w:szCs w:val="22"/>
        </w:rPr>
        <w:t>include representation from the colleges based in Pennine Lancashire and the Combined Authority and LEP;</w:t>
      </w:r>
    </w:p>
    <w:p w:rsidR="00093F30" w:rsidRPr="00CF6722" w:rsidRDefault="00093F30" w:rsidP="00093F30">
      <w:pPr>
        <w:pStyle w:val="ListBullet"/>
        <w:numPr>
          <w:ilvl w:val="0"/>
          <w:numId w:val="13"/>
        </w:numPr>
        <w:spacing w:after="0" w:line="240" w:lineRule="auto"/>
        <w:ind w:left="499" w:hanging="357"/>
        <w:contextualSpacing w:val="0"/>
        <w:jc w:val="both"/>
        <w:rPr>
          <w:rFonts w:asciiTheme="minorHAnsi" w:eastAsia="Arial" w:hAnsiTheme="minorHAnsi"/>
          <w:sz w:val="22"/>
          <w:szCs w:val="22"/>
        </w:rPr>
      </w:pPr>
      <w:r w:rsidRPr="00CF6722">
        <w:rPr>
          <w:rFonts w:asciiTheme="minorHAnsi" w:eastAsia="Arial" w:hAnsiTheme="minorHAnsi"/>
          <w:sz w:val="22"/>
          <w:szCs w:val="22"/>
        </w:rPr>
        <w:t>focus primarily on strategic planning across the colleges and the offer to learners and businesses in Pennine Lancashire;</w:t>
      </w:r>
    </w:p>
    <w:p w:rsidR="00093F30" w:rsidRPr="00CF6722" w:rsidRDefault="00093F30" w:rsidP="00093F30">
      <w:pPr>
        <w:pStyle w:val="ListBullet"/>
        <w:numPr>
          <w:ilvl w:val="0"/>
          <w:numId w:val="13"/>
        </w:numPr>
        <w:spacing w:after="0" w:line="240" w:lineRule="auto"/>
        <w:ind w:left="499" w:hanging="357"/>
        <w:contextualSpacing w:val="0"/>
        <w:jc w:val="both"/>
        <w:rPr>
          <w:rFonts w:asciiTheme="minorHAnsi" w:eastAsia="Arial" w:hAnsiTheme="minorHAnsi"/>
          <w:sz w:val="22"/>
          <w:szCs w:val="22"/>
        </w:rPr>
      </w:pPr>
      <w:r w:rsidRPr="00CF6722">
        <w:rPr>
          <w:rFonts w:asciiTheme="minorHAnsi" w:eastAsia="Arial" w:hAnsiTheme="minorHAnsi"/>
          <w:sz w:val="22"/>
          <w:szCs w:val="22"/>
        </w:rPr>
        <w:t>be a sub-group of the Lancashire Skills and Employment Board.</w:t>
      </w:r>
    </w:p>
    <w:p w:rsidR="00093F30" w:rsidRPr="00CF6722" w:rsidRDefault="00093F30" w:rsidP="00093F30">
      <w:pPr>
        <w:rPr>
          <w:rFonts w:eastAsia="Arial"/>
        </w:rPr>
      </w:pPr>
    </w:p>
    <w:p w:rsidR="00093F30" w:rsidRPr="00CF6722" w:rsidRDefault="00DC0F87" w:rsidP="00093F30">
      <w:pPr>
        <w:rPr>
          <w:rFonts w:eastAsia="Arial"/>
          <w:b/>
          <w:color w:val="104F75"/>
        </w:rPr>
      </w:pPr>
      <w:r w:rsidRPr="00DC0F87">
        <w:rPr>
          <w:rFonts w:ascii="Arial Narrow" w:eastAsia="Arial" w:hAnsi="Arial Narrow"/>
          <w:b/>
          <w:color w:val="104F75"/>
          <w:sz w:val="40"/>
          <w:szCs w:val="40"/>
        </w:rPr>
        <w:t>B:</w:t>
      </w:r>
      <w:r>
        <w:rPr>
          <w:rFonts w:eastAsia="Arial"/>
          <w:b/>
          <w:color w:val="104F75"/>
        </w:rPr>
        <w:t xml:space="preserve"> </w:t>
      </w:r>
      <w:r>
        <w:rPr>
          <w:rFonts w:eastAsia="Arial"/>
          <w:b/>
          <w:color w:val="104F75"/>
        </w:rPr>
        <w:tab/>
      </w:r>
      <w:r w:rsidR="00093F30" w:rsidRPr="00CF6722">
        <w:rPr>
          <w:rFonts w:eastAsia="Arial"/>
          <w:b/>
          <w:color w:val="104F75"/>
        </w:rPr>
        <w:t xml:space="preserve">Collaborative working </w:t>
      </w:r>
      <w:r w:rsidR="00C66C2D">
        <w:rPr>
          <w:rFonts w:eastAsia="Arial"/>
          <w:b/>
          <w:color w:val="104F75"/>
        </w:rPr>
        <w:t>with</w:t>
      </w:r>
      <w:r w:rsidR="00093F30" w:rsidRPr="00CF6722">
        <w:rPr>
          <w:rFonts w:eastAsia="Arial"/>
          <w:b/>
          <w:color w:val="104F75"/>
        </w:rPr>
        <w:t xml:space="preserve"> </w:t>
      </w:r>
      <w:r w:rsidR="00C66C2D">
        <w:rPr>
          <w:rFonts w:eastAsia="Arial"/>
          <w:b/>
          <w:color w:val="104F75"/>
        </w:rPr>
        <w:t>T</w:t>
      </w:r>
      <w:r w:rsidR="00093F30" w:rsidRPr="00CF6722">
        <w:rPr>
          <w:rFonts w:eastAsia="Arial"/>
          <w:b/>
          <w:color w:val="104F75"/>
        </w:rPr>
        <w:t>he Lancashire Colleges</w:t>
      </w:r>
    </w:p>
    <w:p w:rsidR="00093F30" w:rsidRPr="00CF6722" w:rsidRDefault="00093F30" w:rsidP="00093F30">
      <w:pPr>
        <w:pStyle w:val="Default"/>
        <w:jc w:val="both"/>
        <w:rPr>
          <w:rFonts w:asciiTheme="minorHAnsi" w:eastAsia="Arial" w:hAnsiTheme="minorHAnsi"/>
          <w:sz w:val="22"/>
          <w:szCs w:val="22"/>
        </w:rPr>
      </w:pPr>
      <w:r w:rsidRPr="00CF6722">
        <w:rPr>
          <w:rFonts w:asciiTheme="minorHAnsi" w:eastAsia="Arial" w:hAnsiTheme="minorHAnsi"/>
          <w:sz w:val="22"/>
          <w:szCs w:val="22"/>
        </w:rPr>
        <w:t xml:space="preserve">The colleges in the review area to further develop The Lancashire Colleges collaborative working model to contribute towards </w:t>
      </w:r>
      <w:r w:rsidRPr="00CF6722">
        <w:rPr>
          <w:rFonts w:asciiTheme="minorHAnsi" w:hAnsiTheme="minorHAnsi"/>
          <w:sz w:val="22"/>
          <w:szCs w:val="22"/>
        </w:rPr>
        <w:t>m</w:t>
      </w:r>
      <w:r w:rsidRPr="00CF6722">
        <w:rPr>
          <w:rFonts w:asciiTheme="minorHAnsi" w:hAnsiTheme="minorHAnsi"/>
          <w:bCs/>
          <w:sz w:val="22"/>
          <w:szCs w:val="22"/>
        </w:rPr>
        <w:t>eeting the current and future needs of young people, adults and businesses.  It will do so by ensuring provision is sustainable, inclusive, and that local and national skills including higher skills priorities are addressed as articulated in the Lancashire Skills Conclusion presented by the LEP and Combined Authority.</w:t>
      </w:r>
    </w:p>
    <w:p w:rsidR="00093F30" w:rsidRPr="00CF6722" w:rsidRDefault="00093F30" w:rsidP="00093F30">
      <w:pPr>
        <w:pStyle w:val="ListBullet"/>
        <w:numPr>
          <w:ilvl w:val="0"/>
          <w:numId w:val="0"/>
        </w:numPr>
        <w:spacing w:after="0"/>
        <w:jc w:val="both"/>
        <w:rPr>
          <w:rFonts w:asciiTheme="minorHAnsi" w:hAnsiTheme="minorHAnsi"/>
          <w:bCs/>
          <w:sz w:val="22"/>
          <w:szCs w:val="22"/>
        </w:rPr>
      </w:pPr>
      <w:r w:rsidRPr="00CF6722">
        <w:rPr>
          <w:rFonts w:asciiTheme="minorHAnsi" w:hAnsiTheme="minorHAnsi"/>
          <w:bCs/>
          <w:sz w:val="22"/>
          <w:szCs w:val="22"/>
        </w:rPr>
        <w:t>The focus will be on the priorities identified in the Lancashire Skills Conclusion presented by the LEP and the Local Authorities:</w:t>
      </w:r>
    </w:p>
    <w:p w:rsidR="00093F30" w:rsidRPr="00CF6722" w:rsidRDefault="00093F30" w:rsidP="00093F30">
      <w:pPr>
        <w:pStyle w:val="ListBullet"/>
        <w:numPr>
          <w:ilvl w:val="0"/>
          <w:numId w:val="14"/>
        </w:numPr>
        <w:spacing w:after="0" w:line="240" w:lineRule="auto"/>
        <w:ind w:left="357" w:hanging="357"/>
        <w:contextualSpacing w:val="0"/>
        <w:jc w:val="both"/>
        <w:rPr>
          <w:rFonts w:asciiTheme="minorHAnsi" w:eastAsia="Arial" w:hAnsiTheme="minorHAnsi"/>
          <w:sz w:val="22"/>
          <w:szCs w:val="22"/>
        </w:rPr>
      </w:pPr>
      <w:r w:rsidRPr="00CF6722">
        <w:rPr>
          <w:rFonts w:asciiTheme="minorHAnsi" w:eastAsia="Arial" w:hAnsiTheme="minorHAnsi"/>
          <w:sz w:val="22"/>
          <w:szCs w:val="22"/>
        </w:rPr>
        <w:lastRenderedPageBreak/>
        <w:t>developing innovative approaches to secure greater employer engagement and involvement in education and skills, working with key partners on collaborative approaches to engaging SMEs in particular;</w:t>
      </w:r>
    </w:p>
    <w:p w:rsidR="00093F30" w:rsidRPr="00CF6722" w:rsidRDefault="00093F30" w:rsidP="00093F30">
      <w:pPr>
        <w:pStyle w:val="ListBullet"/>
        <w:numPr>
          <w:ilvl w:val="0"/>
          <w:numId w:val="14"/>
        </w:numPr>
        <w:spacing w:after="0" w:line="240" w:lineRule="auto"/>
        <w:ind w:left="357" w:hanging="357"/>
        <w:contextualSpacing w:val="0"/>
        <w:jc w:val="both"/>
        <w:rPr>
          <w:rFonts w:asciiTheme="minorHAnsi" w:eastAsia="Arial" w:hAnsiTheme="minorHAnsi"/>
          <w:sz w:val="22"/>
          <w:szCs w:val="22"/>
        </w:rPr>
      </w:pPr>
      <w:r w:rsidRPr="00CF6722">
        <w:rPr>
          <w:rFonts w:asciiTheme="minorHAnsi" w:eastAsia="Arial" w:hAnsiTheme="minorHAnsi"/>
          <w:sz w:val="22"/>
          <w:szCs w:val="22"/>
        </w:rPr>
        <w:t>continuing the development of a higher level skills offer and national centres of excellence that support Lancashire and UK priorities including STEM, with clearly articulated progression routes for learners within reasonable travel to learn areas;</w:t>
      </w:r>
    </w:p>
    <w:p w:rsidR="00093F30" w:rsidRPr="00CF6722" w:rsidRDefault="00093F30" w:rsidP="00093F30">
      <w:pPr>
        <w:pStyle w:val="ListBullet"/>
        <w:numPr>
          <w:ilvl w:val="0"/>
          <w:numId w:val="14"/>
        </w:numPr>
        <w:spacing w:after="0" w:line="240" w:lineRule="auto"/>
        <w:ind w:left="357" w:hanging="357"/>
        <w:contextualSpacing w:val="0"/>
        <w:jc w:val="both"/>
        <w:rPr>
          <w:rFonts w:asciiTheme="minorHAnsi" w:eastAsia="Arial" w:hAnsiTheme="minorHAnsi"/>
          <w:sz w:val="22"/>
          <w:szCs w:val="22"/>
        </w:rPr>
      </w:pPr>
      <w:r w:rsidRPr="00CF6722">
        <w:rPr>
          <w:rFonts w:asciiTheme="minorHAnsi" w:eastAsia="Arial" w:hAnsiTheme="minorHAnsi"/>
          <w:sz w:val="22"/>
          <w:szCs w:val="22"/>
        </w:rPr>
        <w:t>contributing to the development and delivery of the Lancashire Apprenticeship Growth Plan to drive forward quality, breadth and volume;</w:t>
      </w:r>
    </w:p>
    <w:p w:rsidR="00093F30" w:rsidRPr="00CF6722" w:rsidRDefault="00093F30" w:rsidP="00093F30">
      <w:pPr>
        <w:pStyle w:val="ListBullet"/>
        <w:numPr>
          <w:ilvl w:val="0"/>
          <w:numId w:val="14"/>
        </w:numPr>
        <w:spacing w:after="0" w:line="240" w:lineRule="auto"/>
        <w:ind w:left="357" w:hanging="357"/>
        <w:contextualSpacing w:val="0"/>
        <w:jc w:val="both"/>
        <w:rPr>
          <w:rFonts w:asciiTheme="minorHAnsi" w:eastAsia="Arial" w:hAnsiTheme="minorHAnsi"/>
          <w:sz w:val="22"/>
          <w:szCs w:val="22"/>
        </w:rPr>
      </w:pPr>
      <w:r w:rsidRPr="00CF6722">
        <w:rPr>
          <w:rFonts w:asciiTheme="minorHAnsi" w:eastAsia="Arial" w:hAnsiTheme="minorHAnsi"/>
          <w:sz w:val="22"/>
          <w:szCs w:val="22"/>
        </w:rPr>
        <w:t>ensuring there is an accessible local offer in place for those adults furthest from economic independence, with clear progression routes to skills development and employment, including apprenticeships;</w:t>
      </w:r>
    </w:p>
    <w:p w:rsidR="00093F30" w:rsidRPr="00CF6722" w:rsidRDefault="00093F30" w:rsidP="00093F30">
      <w:pPr>
        <w:pStyle w:val="ListBullet"/>
        <w:numPr>
          <w:ilvl w:val="0"/>
          <w:numId w:val="14"/>
        </w:numPr>
        <w:spacing w:after="0" w:line="240" w:lineRule="auto"/>
        <w:ind w:left="357" w:hanging="357"/>
        <w:contextualSpacing w:val="0"/>
        <w:jc w:val="both"/>
        <w:rPr>
          <w:rFonts w:asciiTheme="minorHAnsi" w:eastAsia="Arial" w:hAnsiTheme="minorHAnsi"/>
          <w:sz w:val="22"/>
          <w:szCs w:val="22"/>
        </w:rPr>
      </w:pPr>
      <w:r w:rsidRPr="00CF6722">
        <w:rPr>
          <w:rFonts w:asciiTheme="minorHAnsi" w:eastAsia="Arial" w:hAnsiTheme="minorHAnsi"/>
          <w:sz w:val="22"/>
          <w:szCs w:val="22"/>
        </w:rPr>
        <w:t>continuing to offer access and progression opportunities for SEND and high needs learners, also foundation level provision, within a reasonable travel to learn area;</w:t>
      </w:r>
    </w:p>
    <w:p w:rsidR="00093F30" w:rsidRPr="00CF6722" w:rsidRDefault="00093F30" w:rsidP="00093F30">
      <w:pPr>
        <w:pStyle w:val="ListBullet"/>
        <w:numPr>
          <w:ilvl w:val="0"/>
          <w:numId w:val="14"/>
        </w:numPr>
        <w:spacing w:after="0" w:line="240" w:lineRule="auto"/>
        <w:ind w:left="357" w:hanging="357"/>
        <w:contextualSpacing w:val="0"/>
        <w:jc w:val="both"/>
        <w:rPr>
          <w:rFonts w:asciiTheme="minorHAnsi" w:eastAsia="Arial" w:hAnsiTheme="minorHAnsi"/>
          <w:sz w:val="22"/>
          <w:szCs w:val="22"/>
        </w:rPr>
      </w:pPr>
      <w:r w:rsidRPr="00CF6722">
        <w:rPr>
          <w:rFonts w:asciiTheme="minorHAnsi" w:eastAsia="Arial" w:hAnsiTheme="minorHAnsi"/>
          <w:sz w:val="22"/>
          <w:szCs w:val="22"/>
        </w:rPr>
        <w:t xml:space="preserve">continuing to support local schools in the delivery of effective </w:t>
      </w:r>
      <w:r w:rsidRPr="00CF6722">
        <w:rPr>
          <w:rFonts w:asciiTheme="minorHAnsi" w:hAnsiTheme="minorHAnsi"/>
          <w:sz w:val="22"/>
          <w:szCs w:val="22"/>
          <w:lang w:val="en-US"/>
        </w:rPr>
        <w:t>careers education, information, advice and guidance</w:t>
      </w:r>
      <w:r w:rsidRPr="00CF6722">
        <w:rPr>
          <w:rFonts w:asciiTheme="minorHAnsi" w:eastAsia="Arial" w:hAnsiTheme="minorHAnsi"/>
          <w:sz w:val="22"/>
          <w:szCs w:val="22"/>
        </w:rPr>
        <w:t xml:space="preserve"> (CEIAG) so that young people’s progression pathways are fully informed by LEP and Combined Authority priority sector needs and opportunities, in particular apprenticeships;</w:t>
      </w:r>
    </w:p>
    <w:p w:rsidR="00093F30" w:rsidRPr="00CF6722" w:rsidRDefault="00093F30" w:rsidP="00093F30">
      <w:pPr>
        <w:pStyle w:val="ListBullet"/>
        <w:numPr>
          <w:ilvl w:val="0"/>
          <w:numId w:val="14"/>
        </w:numPr>
        <w:spacing w:after="0" w:line="240" w:lineRule="auto"/>
        <w:ind w:left="357" w:hanging="357"/>
        <w:contextualSpacing w:val="0"/>
        <w:jc w:val="both"/>
        <w:rPr>
          <w:rFonts w:asciiTheme="minorHAnsi" w:eastAsia="Arial" w:hAnsiTheme="minorHAnsi"/>
          <w:sz w:val="22"/>
          <w:szCs w:val="22"/>
        </w:rPr>
      </w:pPr>
      <w:r w:rsidRPr="00CF6722">
        <w:rPr>
          <w:rFonts w:asciiTheme="minorHAnsi" w:eastAsia="Arial" w:hAnsiTheme="minorHAnsi"/>
          <w:sz w:val="22"/>
          <w:szCs w:val="22"/>
        </w:rPr>
        <w:t>sharing good practice to further our collective ability to respond to new and emerging priorities, policy and system change.</w:t>
      </w:r>
    </w:p>
    <w:p w:rsidR="00CF6722" w:rsidRDefault="00CF6722" w:rsidP="00093F30">
      <w:pPr>
        <w:rPr>
          <w:rFonts w:eastAsia="Arial"/>
          <w:b/>
          <w:color w:val="104F75"/>
        </w:rPr>
      </w:pPr>
    </w:p>
    <w:p w:rsidR="00093F30" w:rsidRPr="00CF6722" w:rsidRDefault="00DC0F87" w:rsidP="00093F30">
      <w:pPr>
        <w:rPr>
          <w:rFonts w:eastAsia="Arial"/>
          <w:b/>
          <w:color w:val="104F75"/>
        </w:rPr>
      </w:pPr>
      <w:r w:rsidRPr="00DC0F87">
        <w:rPr>
          <w:rFonts w:ascii="Arial Narrow" w:eastAsia="Arial" w:hAnsi="Arial Narrow"/>
          <w:b/>
          <w:color w:val="104F75"/>
          <w:sz w:val="40"/>
          <w:szCs w:val="40"/>
        </w:rPr>
        <w:t>C:</w:t>
      </w:r>
      <w:r>
        <w:rPr>
          <w:rFonts w:eastAsia="Arial"/>
          <w:b/>
          <w:color w:val="104F75"/>
        </w:rPr>
        <w:t xml:space="preserve"> </w:t>
      </w:r>
      <w:r>
        <w:rPr>
          <w:rFonts w:eastAsia="Arial"/>
          <w:b/>
          <w:color w:val="104F75"/>
        </w:rPr>
        <w:tab/>
        <w:t>Schools with S</w:t>
      </w:r>
      <w:r w:rsidR="00093F30" w:rsidRPr="00CF6722">
        <w:rPr>
          <w:rFonts w:eastAsia="Arial"/>
          <w:b/>
          <w:color w:val="104F75"/>
        </w:rPr>
        <w:t>ixth forms</w:t>
      </w:r>
    </w:p>
    <w:p w:rsidR="00093F30" w:rsidRPr="00CF6722" w:rsidRDefault="00093F30" w:rsidP="00093F30">
      <w:r w:rsidRPr="00CF6722">
        <w:rPr>
          <w:rFonts w:cs="Arial"/>
        </w:rPr>
        <w:t>Local authorities to appraise how schools with sixth forms can better support economic and educational priorities and to take account of the outcomes of the area review in decisions about provision.  This work will complement the wider school system agenda.  </w:t>
      </w:r>
    </w:p>
    <w:p w:rsidR="00093F30" w:rsidRPr="00CF6722" w:rsidRDefault="00093F30" w:rsidP="00093F30">
      <w:pPr>
        <w:pStyle w:val="ListParagraph"/>
        <w:numPr>
          <w:ilvl w:val="0"/>
          <w:numId w:val="15"/>
        </w:numPr>
        <w:spacing w:after="0" w:line="240" w:lineRule="auto"/>
      </w:pPr>
      <w:r w:rsidRPr="00CF6722">
        <w:rPr>
          <w:rFonts w:cs="Arial"/>
        </w:rPr>
        <w:t xml:space="preserve">The RSC and the three local authorities will take account of the area review evidence and findings in future decisions about current and planned school provision. </w:t>
      </w:r>
    </w:p>
    <w:p w:rsidR="00093F30" w:rsidRPr="00CF6722" w:rsidRDefault="00093F30" w:rsidP="00093F30">
      <w:pPr>
        <w:pStyle w:val="ListParagraph"/>
        <w:numPr>
          <w:ilvl w:val="0"/>
          <w:numId w:val="15"/>
        </w:numPr>
        <w:spacing w:after="0" w:line="240" w:lineRule="auto"/>
      </w:pPr>
      <w:r w:rsidRPr="00CF6722">
        <w:rPr>
          <w:rFonts w:cs="Arial"/>
        </w:rPr>
        <w:t>Over the 2017 cycle of meetings of the School Sixth Form Heads' Network, the local authorities will consider how schools with sixth forms can better support and engage with economic and educational priorities, sharing findings with the RSC and feeding into the implementation group</w:t>
      </w:r>
      <w:r w:rsidRPr="00CF6722">
        <w:t>.</w:t>
      </w:r>
    </w:p>
    <w:p w:rsidR="00DC0F87" w:rsidRDefault="00DC0F87"/>
    <w:p w:rsidR="00093F30" w:rsidRPr="00CF6722" w:rsidRDefault="00093F30">
      <w:r w:rsidRPr="00CF6722">
        <w:br w:type="page"/>
      </w:r>
    </w:p>
    <w:p w:rsidR="00DC0F87" w:rsidRDefault="00DC0F87" w:rsidP="009E4267">
      <w:pPr>
        <w:ind w:left="-567"/>
        <w:rPr>
          <w:rFonts w:ascii="Arial Narrow" w:hAnsi="Arial Narrow"/>
          <w:b/>
          <w:color w:val="5B9BD5" w:themeColor="accent1"/>
          <w:sz w:val="40"/>
          <w:szCs w:val="40"/>
        </w:rPr>
      </w:pPr>
      <w:r w:rsidRPr="00DC0F87">
        <w:rPr>
          <w:rFonts w:ascii="Arial Narrow" w:hAnsi="Arial Narrow"/>
          <w:b/>
          <w:color w:val="5B9BD5" w:themeColor="accent1"/>
          <w:sz w:val="40"/>
          <w:szCs w:val="40"/>
        </w:rPr>
        <w:lastRenderedPageBreak/>
        <w:t xml:space="preserve">A: </w:t>
      </w:r>
      <w:r w:rsidRPr="00DC0F87">
        <w:rPr>
          <w:rFonts w:ascii="Arial Narrow" w:hAnsi="Arial Narrow"/>
          <w:b/>
          <w:color w:val="5B9BD5" w:themeColor="accent1"/>
          <w:sz w:val="40"/>
          <w:szCs w:val="40"/>
        </w:rPr>
        <w:tab/>
        <w:t>Pennine Lancashire Strategic Planning Group</w:t>
      </w:r>
    </w:p>
    <w:tbl>
      <w:tblPr>
        <w:tblStyle w:val="TableGrid"/>
        <w:tblW w:w="14884" w:type="dxa"/>
        <w:tblInd w:w="-572" w:type="dxa"/>
        <w:tblLook w:val="04A0" w:firstRow="1" w:lastRow="0" w:firstColumn="1" w:lastColumn="0" w:noHBand="0" w:noVBand="1"/>
      </w:tblPr>
      <w:tblGrid>
        <w:gridCol w:w="12474"/>
        <w:gridCol w:w="2410"/>
      </w:tblGrid>
      <w:tr w:rsidR="007379A6" w:rsidTr="00413A0E">
        <w:tc>
          <w:tcPr>
            <w:tcW w:w="12474" w:type="dxa"/>
            <w:shd w:val="clear" w:color="auto" w:fill="D9D9D9" w:themeFill="background1" w:themeFillShade="D9"/>
          </w:tcPr>
          <w:p w:rsidR="007379A6" w:rsidRPr="00CF6722" w:rsidRDefault="007379A6" w:rsidP="007379A6">
            <w:pPr>
              <w:pStyle w:val="ListBullet"/>
              <w:numPr>
                <w:ilvl w:val="0"/>
                <w:numId w:val="0"/>
              </w:numPr>
              <w:jc w:val="both"/>
              <w:rPr>
                <w:rFonts w:asciiTheme="minorHAnsi" w:eastAsia="Arial" w:hAnsiTheme="minorHAnsi"/>
                <w:sz w:val="22"/>
                <w:szCs w:val="22"/>
              </w:rPr>
            </w:pPr>
            <w:r w:rsidRPr="00CF6722">
              <w:rPr>
                <w:rFonts w:asciiTheme="minorHAnsi" w:eastAsia="Arial" w:hAnsiTheme="minorHAnsi"/>
                <w:sz w:val="22"/>
                <w:szCs w:val="22"/>
              </w:rPr>
              <w:t xml:space="preserve">Recognising the unique characteristics of the Pennine Lancashire area, </w:t>
            </w:r>
            <w:r w:rsidR="001A396B">
              <w:rPr>
                <w:rFonts w:asciiTheme="minorHAnsi" w:eastAsia="Arial" w:hAnsiTheme="minorHAnsi"/>
                <w:sz w:val="22"/>
                <w:szCs w:val="22"/>
              </w:rPr>
              <w:t>it was recommended</w:t>
            </w:r>
            <w:r w:rsidRPr="00CF6722">
              <w:rPr>
                <w:rFonts w:asciiTheme="minorHAnsi" w:eastAsia="Arial" w:hAnsiTheme="minorHAnsi"/>
                <w:sz w:val="22"/>
                <w:szCs w:val="22"/>
              </w:rPr>
              <w:t xml:space="preserve"> that a Pennine Strategic Planning Group be created.  This group </w:t>
            </w:r>
            <w:r w:rsidR="001A396B">
              <w:rPr>
                <w:rFonts w:asciiTheme="minorHAnsi" w:eastAsia="Arial" w:hAnsiTheme="minorHAnsi"/>
                <w:sz w:val="22"/>
                <w:szCs w:val="22"/>
              </w:rPr>
              <w:t>was to</w:t>
            </w:r>
            <w:r w:rsidRPr="00CF6722">
              <w:rPr>
                <w:rFonts w:asciiTheme="minorHAnsi" w:eastAsia="Arial" w:hAnsiTheme="minorHAnsi"/>
                <w:sz w:val="22"/>
                <w:szCs w:val="22"/>
              </w:rPr>
              <w:t xml:space="preserve"> support the delivery of the priorities articulated by the LEP</w:t>
            </w:r>
            <w:r w:rsidR="001A396B">
              <w:rPr>
                <w:rFonts w:asciiTheme="minorHAnsi" w:eastAsia="Arial" w:hAnsiTheme="minorHAnsi"/>
                <w:sz w:val="22"/>
                <w:szCs w:val="22"/>
              </w:rPr>
              <w:t xml:space="preserve"> and the LCA</w:t>
            </w:r>
            <w:r w:rsidRPr="00CF6722">
              <w:rPr>
                <w:rFonts w:asciiTheme="minorHAnsi" w:eastAsia="Arial" w:hAnsiTheme="minorHAnsi"/>
                <w:sz w:val="22"/>
                <w:szCs w:val="22"/>
              </w:rPr>
              <w:t xml:space="preserve"> and the alignment of a quality curriculum offer with local educational, economic and labour market needs. </w:t>
            </w:r>
          </w:p>
          <w:p w:rsidR="007379A6" w:rsidRPr="00CF6722" w:rsidRDefault="00BA6D9F" w:rsidP="007379A6">
            <w:pPr>
              <w:pStyle w:val="ListBullet"/>
              <w:numPr>
                <w:ilvl w:val="0"/>
                <w:numId w:val="0"/>
              </w:numPr>
              <w:jc w:val="both"/>
              <w:rPr>
                <w:rFonts w:asciiTheme="minorHAnsi" w:eastAsia="Arial" w:hAnsiTheme="minorHAnsi"/>
                <w:sz w:val="22"/>
                <w:szCs w:val="22"/>
              </w:rPr>
            </w:pPr>
            <w:r>
              <w:rPr>
                <w:rFonts w:asciiTheme="minorHAnsi" w:eastAsia="Arial" w:hAnsiTheme="minorHAnsi"/>
                <w:sz w:val="22"/>
                <w:szCs w:val="22"/>
              </w:rPr>
              <w:t>The group would</w:t>
            </w:r>
            <w:r w:rsidR="007379A6" w:rsidRPr="00CF6722">
              <w:rPr>
                <w:rFonts w:asciiTheme="minorHAnsi" w:eastAsia="Arial" w:hAnsiTheme="minorHAnsi"/>
                <w:sz w:val="22"/>
                <w:szCs w:val="22"/>
              </w:rPr>
              <w:t>:</w:t>
            </w:r>
          </w:p>
          <w:p w:rsidR="007379A6" w:rsidRPr="00CF6722" w:rsidRDefault="007379A6" w:rsidP="007379A6">
            <w:pPr>
              <w:pStyle w:val="ListBullet"/>
              <w:numPr>
                <w:ilvl w:val="0"/>
                <w:numId w:val="13"/>
              </w:numPr>
              <w:spacing w:after="0" w:line="240" w:lineRule="auto"/>
              <w:ind w:left="499" w:hanging="357"/>
              <w:contextualSpacing w:val="0"/>
              <w:jc w:val="both"/>
              <w:rPr>
                <w:rFonts w:asciiTheme="minorHAnsi" w:eastAsia="Arial" w:hAnsiTheme="minorHAnsi"/>
                <w:sz w:val="22"/>
                <w:szCs w:val="22"/>
              </w:rPr>
            </w:pPr>
            <w:r w:rsidRPr="00CF6722">
              <w:rPr>
                <w:rFonts w:asciiTheme="minorHAnsi" w:eastAsia="Arial" w:hAnsiTheme="minorHAnsi"/>
                <w:sz w:val="22"/>
                <w:szCs w:val="22"/>
              </w:rPr>
              <w:t xml:space="preserve">include representation from the colleges based in Pennine Lancashire and the </w:t>
            </w:r>
            <w:r w:rsidR="00CC7C27">
              <w:rPr>
                <w:rFonts w:asciiTheme="minorHAnsi" w:eastAsia="Arial" w:hAnsiTheme="minorHAnsi"/>
                <w:sz w:val="22"/>
                <w:szCs w:val="22"/>
              </w:rPr>
              <w:t xml:space="preserve">LCA </w:t>
            </w:r>
            <w:r w:rsidRPr="00CF6722">
              <w:rPr>
                <w:rFonts w:asciiTheme="minorHAnsi" w:eastAsia="Arial" w:hAnsiTheme="minorHAnsi"/>
                <w:sz w:val="22"/>
                <w:szCs w:val="22"/>
              </w:rPr>
              <w:t>and LEP;</w:t>
            </w:r>
          </w:p>
          <w:p w:rsidR="007379A6" w:rsidRPr="00CF6722" w:rsidRDefault="007379A6" w:rsidP="007379A6">
            <w:pPr>
              <w:pStyle w:val="ListBullet"/>
              <w:numPr>
                <w:ilvl w:val="0"/>
                <w:numId w:val="13"/>
              </w:numPr>
              <w:spacing w:after="0" w:line="240" w:lineRule="auto"/>
              <w:ind w:left="499" w:hanging="357"/>
              <w:contextualSpacing w:val="0"/>
              <w:jc w:val="both"/>
              <w:rPr>
                <w:rFonts w:asciiTheme="minorHAnsi" w:eastAsia="Arial" w:hAnsiTheme="minorHAnsi"/>
                <w:sz w:val="22"/>
                <w:szCs w:val="22"/>
              </w:rPr>
            </w:pPr>
            <w:r w:rsidRPr="00CF6722">
              <w:rPr>
                <w:rFonts w:asciiTheme="minorHAnsi" w:eastAsia="Arial" w:hAnsiTheme="minorHAnsi"/>
                <w:sz w:val="22"/>
                <w:szCs w:val="22"/>
              </w:rPr>
              <w:t>focus primarily on strategic planning across the colleges and the offer to learners and businesses in Pennine Lancashire;</w:t>
            </w:r>
          </w:p>
          <w:p w:rsidR="007379A6" w:rsidRDefault="007379A6" w:rsidP="007379A6">
            <w:pPr>
              <w:pStyle w:val="ListParagraph"/>
              <w:numPr>
                <w:ilvl w:val="0"/>
                <w:numId w:val="13"/>
              </w:numPr>
            </w:pPr>
            <w:r w:rsidRPr="007379A6">
              <w:rPr>
                <w:rFonts w:eastAsia="Arial"/>
              </w:rPr>
              <w:t>be a sub-group of the Lancash</w:t>
            </w:r>
            <w:r>
              <w:rPr>
                <w:rFonts w:eastAsia="Arial"/>
              </w:rPr>
              <w:t>ire Skills and Employment Board</w:t>
            </w:r>
            <w:r w:rsidRPr="00DC0F87">
              <w:t>.</w:t>
            </w:r>
          </w:p>
        </w:tc>
        <w:tc>
          <w:tcPr>
            <w:tcW w:w="2410" w:type="dxa"/>
            <w:shd w:val="clear" w:color="auto" w:fill="D9D9D9" w:themeFill="background1" w:themeFillShade="D9"/>
          </w:tcPr>
          <w:p w:rsidR="007379A6" w:rsidRDefault="007379A6" w:rsidP="00413A0E"/>
        </w:tc>
      </w:tr>
      <w:tr w:rsidR="007379A6" w:rsidTr="00413A0E">
        <w:tc>
          <w:tcPr>
            <w:tcW w:w="12474" w:type="dxa"/>
          </w:tcPr>
          <w:p w:rsidR="007379A6" w:rsidRPr="003F09FF" w:rsidRDefault="007379A6" w:rsidP="00CC7C27">
            <w:pPr>
              <w:rPr>
                <w:color w:val="FF0000"/>
              </w:rPr>
            </w:pPr>
            <w:r>
              <w:t>To be taken forward at an appropriate point.</w:t>
            </w:r>
          </w:p>
        </w:tc>
        <w:tc>
          <w:tcPr>
            <w:tcW w:w="2410" w:type="dxa"/>
          </w:tcPr>
          <w:p w:rsidR="007379A6" w:rsidRDefault="007379A6" w:rsidP="00413A0E">
            <w:r>
              <w:t xml:space="preserve">College Principals, LEP, </w:t>
            </w:r>
            <w:r w:rsidR="0098092E">
              <w:t>L</w:t>
            </w:r>
            <w:r>
              <w:t>CA</w:t>
            </w:r>
          </w:p>
        </w:tc>
      </w:tr>
    </w:tbl>
    <w:p w:rsidR="00DC0F87" w:rsidRDefault="00DC0F87" w:rsidP="009E4267">
      <w:pPr>
        <w:ind w:left="-567"/>
        <w:rPr>
          <w:rFonts w:ascii="Arial Narrow" w:hAnsi="Arial Narrow"/>
          <w:b/>
          <w:color w:val="5B9BD5" w:themeColor="accent1"/>
          <w:sz w:val="40"/>
          <w:szCs w:val="40"/>
        </w:rPr>
      </w:pPr>
    </w:p>
    <w:p w:rsidR="00456A3E" w:rsidRPr="00DC0F87" w:rsidRDefault="00DC0F87" w:rsidP="009E4267">
      <w:pPr>
        <w:ind w:left="-567"/>
        <w:rPr>
          <w:rFonts w:ascii="Arial Narrow" w:hAnsi="Arial Narrow"/>
          <w:b/>
          <w:color w:val="5B9BD5" w:themeColor="accent1"/>
          <w:sz w:val="40"/>
          <w:szCs w:val="40"/>
        </w:rPr>
      </w:pPr>
      <w:r w:rsidRPr="00DC0F87">
        <w:rPr>
          <w:rFonts w:ascii="Arial Narrow" w:hAnsi="Arial Narrow"/>
          <w:b/>
          <w:color w:val="5B9BD5" w:themeColor="accent1"/>
          <w:sz w:val="40"/>
          <w:szCs w:val="40"/>
        </w:rPr>
        <w:t>B</w:t>
      </w:r>
      <w:r w:rsidRPr="00DC0F87">
        <w:rPr>
          <w:rFonts w:ascii="Arial Narrow" w:hAnsi="Arial Narrow"/>
          <w:b/>
          <w:color w:val="5B9BD5" w:themeColor="accent1"/>
        </w:rPr>
        <w:t>:</w:t>
      </w:r>
      <w:r>
        <w:rPr>
          <w:b/>
        </w:rPr>
        <w:t xml:space="preserve"> </w:t>
      </w:r>
      <w:r>
        <w:rPr>
          <w:b/>
        </w:rPr>
        <w:tab/>
      </w:r>
      <w:r w:rsidR="00DC474D" w:rsidRPr="00DC0F87">
        <w:rPr>
          <w:rFonts w:ascii="Arial Narrow" w:hAnsi="Arial Narrow"/>
          <w:b/>
          <w:color w:val="5B9BD5" w:themeColor="accent1"/>
          <w:sz w:val="40"/>
          <w:szCs w:val="40"/>
        </w:rPr>
        <w:t xml:space="preserve">DRAFT </w:t>
      </w:r>
      <w:r w:rsidR="00023E87" w:rsidRPr="00DC0F87">
        <w:rPr>
          <w:rFonts w:ascii="Arial Narrow" w:hAnsi="Arial Narrow"/>
          <w:b/>
          <w:color w:val="5B9BD5" w:themeColor="accent1"/>
          <w:sz w:val="40"/>
          <w:szCs w:val="40"/>
        </w:rPr>
        <w:t xml:space="preserve">Lancashire </w:t>
      </w:r>
      <w:r w:rsidR="00C97F81" w:rsidRPr="00DC0F87">
        <w:rPr>
          <w:rFonts w:ascii="Arial Narrow" w:hAnsi="Arial Narrow"/>
          <w:b/>
          <w:color w:val="5B9BD5" w:themeColor="accent1"/>
          <w:sz w:val="40"/>
          <w:szCs w:val="40"/>
        </w:rPr>
        <w:t xml:space="preserve">Collaborative Working </w:t>
      </w:r>
      <w:r w:rsidR="00CC7C27">
        <w:rPr>
          <w:rFonts w:ascii="Arial Narrow" w:hAnsi="Arial Narrow"/>
          <w:b/>
          <w:color w:val="5B9BD5" w:themeColor="accent1"/>
          <w:sz w:val="40"/>
          <w:szCs w:val="40"/>
        </w:rPr>
        <w:t>Action</w:t>
      </w:r>
      <w:r w:rsidR="004B2C35" w:rsidRPr="00DC0F87">
        <w:rPr>
          <w:rFonts w:ascii="Arial Narrow" w:hAnsi="Arial Narrow"/>
          <w:b/>
          <w:color w:val="5B9BD5" w:themeColor="accent1"/>
          <w:sz w:val="40"/>
          <w:szCs w:val="40"/>
        </w:rPr>
        <w:t xml:space="preserve"> P</w:t>
      </w:r>
      <w:r w:rsidR="00023E87" w:rsidRPr="00DC0F87">
        <w:rPr>
          <w:rFonts w:ascii="Arial Narrow" w:hAnsi="Arial Narrow"/>
          <w:b/>
          <w:color w:val="5B9BD5" w:themeColor="accent1"/>
          <w:sz w:val="40"/>
          <w:szCs w:val="40"/>
        </w:rPr>
        <w:t>lan</w:t>
      </w:r>
    </w:p>
    <w:tbl>
      <w:tblPr>
        <w:tblStyle w:val="TableGrid"/>
        <w:tblW w:w="14958" w:type="dxa"/>
        <w:tblInd w:w="-572" w:type="dxa"/>
        <w:tblLook w:val="04A0" w:firstRow="1" w:lastRow="0" w:firstColumn="1" w:lastColumn="0" w:noHBand="0" w:noVBand="1"/>
      </w:tblPr>
      <w:tblGrid>
        <w:gridCol w:w="10164"/>
        <w:gridCol w:w="2546"/>
        <w:gridCol w:w="2181"/>
        <w:gridCol w:w="67"/>
      </w:tblGrid>
      <w:tr w:rsidR="00975687" w:rsidRPr="00EA02CE" w:rsidTr="003E7A3B">
        <w:trPr>
          <w:gridAfter w:val="1"/>
          <w:wAfter w:w="74" w:type="dxa"/>
          <w:tblHeader/>
        </w:trPr>
        <w:tc>
          <w:tcPr>
            <w:tcW w:w="10915" w:type="dxa"/>
          </w:tcPr>
          <w:p w:rsidR="00511C58" w:rsidRDefault="00511C58" w:rsidP="00EA02CE">
            <w:pPr>
              <w:rPr>
                <w:b/>
              </w:rPr>
            </w:pPr>
            <w:r>
              <w:rPr>
                <w:b/>
              </w:rPr>
              <w:t>Challenge/opportunity/action</w:t>
            </w:r>
          </w:p>
          <w:p w:rsidR="00511C58" w:rsidRPr="00EA02CE" w:rsidRDefault="00511C58" w:rsidP="00A029DF">
            <w:pPr>
              <w:rPr>
                <w:b/>
              </w:rPr>
            </w:pPr>
          </w:p>
        </w:tc>
        <w:tc>
          <w:tcPr>
            <w:tcW w:w="1701" w:type="dxa"/>
          </w:tcPr>
          <w:p w:rsidR="00511C58" w:rsidRPr="00EA02CE" w:rsidRDefault="00511C58" w:rsidP="00EA02CE">
            <w:pPr>
              <w:rPr>
                <w:b/>
              </w:rPr>
            </w:pPr>
            <w:r w:rsidRPr="00EA02CE">
              <w:rPr>
                <w:b/>
              </w:rPr>
              <w:t>Lead(s)</w:t>
            </w:r>
          </w:p>
        </w:tc>
        <w:tc>
          <w:tcPr>
            <w:tcW w:w="2268" w:type="dxa"/>
          </w:tcPr>
          <w:p w:rsidR="00511C58" w:rsidRPr="00EA02CE" w:rsidRDefault="00511C58" w:rsidP="00EA02CE">
            <w:pPr>
              <w:rPr>
                <w:b/>
              </w:rPr>
            </w:pPr>
            <w:r w:rsidRPr="00EA02CE">
              <w:rPr>
                <w:b/>
              </w:rPr>
              <w:t>Key Partners</w:t>
            </w:r>
          </w:p>
        </w:tc>
      </w:tr>
      <w:tr w:rsidR="00A029DF" w:rsidRPr="005C693D" w:rsidTr="0031629B">
        <w:tc>
          <w:tcPr>
            <w:tcW w:w="14958" w:type="dxa"/>
            <w:gridSpan w:val="4"/>
            <w:shd w:val="clear" w:color="auto" w:fill="D9D9D9" w:themeFill="background1" w:themeFillShade="D9"/>
            <w:vAlign w:val="center"/>
          </w:tcPr>
          <w:p w:rsidR="00A029DF" w:rsidRPr="00C01ADC" w:rsidRDefault="00C01ADC" w:rsidP="00C01ADC">
            <w:pPr>
              <w:rPr>
                <w:b/>
              </w:rPr>
            </w:pPr>
            <w:r>
              <w:rPr>
                <w:b/>
              </w:rPr>
              <w:t>FUTURE WORKFORCE</w:t>
            </w:r>
          </w:p>
        </w:tc>
      </w:tr>
      <w:tr w:rsidR="00C01ADC" w:rsidRPr="005C693D" w:rsidTr="0031629B">
        <w:tc>
          <w:tcPr>
            <w:tcW w:w="14958" w:type="dxa"/>
            <w:gridSpan w:val="4"/>
            <w:shd w:val="clear" w:color="auto" w:fill="D9D9D9" w:themeFill="background1" w:themeFillShade="D9"/>
            <w:vAlign w:val="center"/>
          </w:tcPr>
          <w:p w:rsidR="00C01ADC" w:rsidRDefault="005F0395" w:rsidP="00C01ADC">
            <w:pPr>
              <w:rPr>
                <w:b/>
              </w:rPr>
            </w:pPr>
            <w:r>
              <w:rPr>
                <w:b/>
              </w:rPr>
              <w:t>Priority 1: Align curriculum offer by Travel to Learn area to local and national priorities.</w:t>
            </w:r>
          </w:p>
        </w:tc>
      </w:tr>
      <w:tr w:rsidR="00975687" w:rsidTr="003E7A3B">
        <w:trPr>
          <w:gridAfter w:val="1"/>
          <w:wAfter w:w="74" w:type="dxa"/>
        </w:trPr>
        <w:tc>
          <w:tcPr>
            <w:tcW w:w="10915" w:type="dxa"/>
            <w:vAlign w:val="center"/>
          </w:tcPr>
          <w:p w:rsidR="00511C58" w:rsidRDefault="00511C58" w:rsidP="00A029DF">
            <w:r>
              <w:t>Utilise the evidence base that underpins the Strategic Economic Plan (SEP) and Skills &amp; Employment Strategic Framework and allied Labour Market Information (LMI) to inform curriculum planning across Lancashire</w:t>
            </w:r>
            <w:r w:rsidR="00901440">
              <w:t>.</w:t>
            </w:r>
          </w:p>
          <w:p w:rsidR="00511C58" w:rsidRDefault="00511C58" w:rsidP="00C01ADC">
            <w:pPr>
              <w:pStyle w:val="ListParagraph"/>
              <w:numPr>
                <w:ilvl w:val="0"/>
                <w:numId w:val="9"/>
              </w:numPr>
            </w:pPr>
            <w:r>
              <w:t xml:space="preserve">Develop a collaborative approach within 'Travel to Learn' footprints to ensure access to quality provision at Foundation Level and Levels 1-3 </w:t>
            </w:r>
            <w:r w:rsidR="00901440">
              <w:t xml:space="preserve">(16-19 Study Programmes) </w:t>
            </w:r>
            <w:r>
              <w:t>in accordance with employer and learner demands whilst also minimising duplication</w:t>
            </w:r>
            <w:r w:rsidR="003E7A3B" w:rsidRPr="003F09FF">
              <w:t xml:space="preserve">, taking into account the high volume of SME’s within Lancashire </w:t>
            </w:r>
            <w:r w:rsidR="007C0749" w:rsidRPr="003F09FF">
              <w:t>and the particular need for replacement provision and basic skills provision</w:t>
            </w:r>
            <w:r w:rsidRPr="003F09FF">
              <w:t xml:space="preserve">. </w:t>
            </w:r>
          </w:p>
          <w:p w:rsidR="0098092E" w:rsidRPr="00CC7C27" w:rsidRDefault="0098092E" w:rsidP="0098092E">
            <w:pPr>
              <w:pStyle w:val="ListParagraph"/>
              <w:numPr>
                <w:ilvl w:val="0"/>
                <w:numId w:val="9"/>
              </w:numPr>
            </w:pPr>
            <w:r w:rsidRPr="00CC7C27">
              <w:t>LAs to create a Lancashire 16-19 Statement of Priorities annually to refresh priorities in local 16-19 provision, participation of young people, learning offer and progression routes, attainment and quality, LMI and High Needs</w:t>
            </w:r>
            <w:r w:rsidR="00BA6D9F">
              <w:t>.</w:t>
            </w:r>
          </w:p>
          <w:p w:rsidR="00511C58" w:rsidRDefault="00511C58" w:rsidP="003E7A3B">
            <w:pPr>
              <w:pStyle w:val="ListParagraph"/>
              <w:numPr>
                <w:ilvl w:val="0"/>
                <w:numId w:val="9"/>
              </w:numPr>
            </w:pPr>
            <w:r>
              <w:t>Ensure the offer at Level 4 and above supports LEP priorities and further develop specialisms including via our HE in FE offer and through collaboration with Lancashire-based HEIs.</w:t>
            </w:r>
          </w:p>
          <w:p w:rsidR="00511C58" w:rsidRDefault="00511C58" w:rsidP="00C01ADC">
            <w:pPr>
              <w:pStyle w:val="ListParagraph"/>
              <w:numPr>
                <w:ilvl w:val="0"/>
                <w:numId w:val="9"/>
              </w:numPr>
            </w:pPr>
            <w:r>
              <w:t>Map progression pathways locally and across Lancashire to provide clarity to learners and employers, to encourage progression.</w:t>
            </w:r>
          </w:p>
          <w:p w:rsidR="00511C58" w:rsidRDefault="00511C58" w:rsidP="006D67F3">
            <w:r>
              <w:lastRenderedPageBreak/>
              <w:t>Contribute to the refresh of the SEP and the Framework during 2017/18, and utilise refreshed evidence base and LMI to inform planning for future academic years.</w:t>
            </w:r>
          </w:p>
        </w:tc>
        <w:tc>
          <w:tcPr>
            <w:tcW w:w="1701" w:type="dxa"/>
          </w:tcPr>
          <w:p w:rsidR="00511C58" w:rsidRDefault="00511C58" w:rsidP="005F0395">
            <w:r>
              <w:lastRenderedPageBreak/>
              <w:t>TLC/Colleges</w:t>
            </w:r>
            <w:r w:rsidR="0098092E">
              <w:t>/LAs</w:t>
            </w:r>
          </w:p>
        </w:tc>
        <w:tc>
          <w:tcPr>
            <w:tcW w:w="2268" w:type="dxa"/>
          </w:tcPr>
          <w:p w:rsidR="00511C58" w:rsidRDefault="00511C58" w:rsidP="00EE76D5">
            <w:r>
              <w:t xml:space="preserve">LEP, </w:t>
            </w:r>
            <w:r w:rsidR="00827FBD">
              <w:t>L</w:t>
            </w:r>
            <w:r>
              <w:t>CA, LAs</w:t>
            </w:r>
          </w:p>
        </w:tc>
      </w:tr>
      <w:tr w:rsidR="00975687" w:rsidTr="003E7A3B">
        <w:trPr>
          <w:gridAfter w:val="1"/>
          <w:wAfter w:w="74" w:type="dxa"/>
        </w:trPr>
        <w:tc>
          <w:tcPr>
            <w:tcW w:w="10915" w:type="dxa"/>
            <w:vAlign w:val="center"/>
          </w:tcPr>
          <w:p w:rsidR="003E7A3B" w:rsidRDefault="00511C58" w:rsidP="002A2827">
            <w:r>
              <w:t xml:space="preserve">Work with the LEP / </w:t>
            </w:r>
            <w:r w:rsidR="00827FBD">
              <w:t>L</w:t>
            </w:r>
            <w:r w:rsidRPr="003F09FF">
              <w:t>CA</w:t>
            </w:r>
            <w:r w:rsidR="003E7A3B" w:rsidRPr="003F09FF">
              <w:t xml:space="preserve"> /</w:t>
            </w:r>
            <w:r w:rsidRPr="003F09FF">
              <w:t xml:space="preserve"> </w:t>
            </w:r>
            <w:r w:rsidR="003E7A3B" w:rsidRPr="003F09FF">
              <w:t xml:space="preserve">LA’s </w:t>
            </w:r>
            <w:r>
              <w:t xml:space="preserve">to develop skills devolution asks, with </w:t>
            </w:r>
            <w:r w:rsidR="003E7A3B" w:rsidRPr="003F09FF">
              <w:t xml:space="preserve">a </w:t>
            </w:r>
            <w:r>
              <w:t>view to ensuring that plans are deliverable, have no unintended consequences and support local skills priorities.</w:t>
            </w:r>
          </w:p>
        </w:tc>
        <w:tc>
          <w:tcPr>
            <w:tcW w:w="1701" w:type="dxa"/>
          </w:tcPr>
          <w:p w:rsidR="00511C58" w:rsidRDefault="00511C58" w:rsidP="002A2827">
            <w:r>
              <w:t xml:space="preserve">TLC/Colleges </w:t>
            </w:r>
          </w:p>
        </w:tc>
        <w:tc>
          <w:tcPr>
            <w:tcW w:w="2268" w:type="dxa"/>
          </w:tcPr>
          <w:p w:rsidR="00511C58" w:rsidRDefault="00511C58" w:rsidP="002A2827">
            <w:r>
              <w:t xml:space="preserve">LEP, </w:t>
            </w:r>
            <w:r w:rsidR="00827FBD">
              <w:t>L</w:t>
            </w:r>
            <w:r>
              <w:t>CA, LAs</w:t>
            </w:r>
          </w:p>
        </w:tc>
      </w:tr>
      <w:tr w:rsidR="00975687" w:rsidTr="003E7A3B">
        <w:trPr>
          <w:gridAfter w:val="1"/>
          <w:wAfter w:w="74" w:type="dxa"/>
        </w:trPr>
        <w:tc>
          <w:tcPr>
            <w:tcW w:w="10915" w:type="dxa"/>
            <w:vAlign w:val="center"/>
          </w:tcPr>
          <w:p w:rsidR="003E7A3B" w:rsidRPr="003F09FF" w:rsidRDefault="007C0749" w:rsidP="007C0749">
            <w:pPr>
              <w:rPr>
                <w:color w:val="FF0000"/>
              </w:rPr>
            </w:pPr>
            <w:r w:rsidRPr="003F09FF">
              <w:t>Work with the LEP</w:t>
            </w:r>
            <w:r w:rsidR="003F09FF" w:rsidRPr="003F09FF">
              <w:t xml:space="preserve"> </w:t>
            </w:r>
            <w:r w:rsidRPr="003F09FF">
              <w:t>/</w:t>
            </w:r>
            <w:r w:rsidR="003F09FF" w:rsidRPr="003F09FF">
              <w:t xml:space="preserve"> </w:t>
            </w:r>
            <w:r w:rsidR="00827FBD">
              <w:t>L</w:t>
            </w:r>
            <w:r w:rsidRPr="003F09FF">
              <w:t xml:space="preserve">CA / LAs to assess the impact of Brexit on economic growth and skills need forecasts and the requirement for upskilling the existing workforce and enabling access to </w:t>
            </w:r>
            <w:r w:rsidR="00A57834" w:rsidRPr="003F09FF">
              <w:t>new global markets.</w:t>
            </w:r>
          </w:p>
        </w:tc>
        <w:tc>
          <w:tcPr>
            <w:tcW w:w="1701" w:type="dxa"/>
          </w:tcPr>
          <w:p w:rsidR="003E7A3B" w:rsidRDefault="00827FBD" w:rsidP="009411C0">
            <w:r>
              <w:t>LEP</w:t>
            </w:r>
          </w:p>
        </w:tc>
        <w:tc>
          <w:tcPr>
            <w:tcW w:w="2268" w:type="dxa"/>
          </w:tcPr>
          <w:p w:rsidR="003E7A3B" w:rsidRDefault="00827FBD" w:rsidP="002A2827">
            <w:r>
              <w:t>CLA/LAs/TLC</w:t>
            </w:r>
          </w:p>
        </w:tc>
      </w:tr>
      <w:tr w:rsidR="00975687" w:rsidTr="003E7A3B">
        <w:trPr>
          <w:gridAfter w:val="1"/>
          <w:wAfter w:w="74" w:type="dxa"/>
        </w:trPr>
        <w:tc>
          <w:tcPr>
            <w:tcW w:w="10915" w:type="dxa"/>
            <w:vAlign w:val="center"/>
          </w:tcPr>
          <w:p w:rsidR="00511C58" w:rsidRDefault="00511C58" w:rsidP="002A2827">
            <w:r>
              <w:t>Develop a strong pipeline of skills capital projects in preparation for future funding opportunities.</w:t>
            </w:r>
          </w:p>
        </w:tc>
        <w:tc>
          <w:tcPr>
            <w:tcW w:w="1701" w:type="dxa"/>
          </w:tcPr>
          <w:p w:rsidR="00511C58" w:rsidRDefault="00511C58" w:rsidP="002A2827">
            <w:r>
              <w:t>TLC/Colleges</w:t>
            </w:r>
          </w:p>
        </w:tc>
        <w:tc>
          <w:tcPr>
            <w:tcW w:w="2268" w:type="dxa"/>
          </w:tcPr>
          <w:p w:rsidR="00511C58" w:rsidRDefault="00511C58" w:rsidP="002A2827">
            <w:r>
              <w:t>LEP</w:t>
            </w:r>
          </w:p>
        </w:tc>
      </w:tr>
      <w:tr w:rsidR="002A2827" w:rsidRPr="005C693D" w:rsidTr="0031629B">
        <w:tc>
          <w:tcPr>
            <w:tcW w:w="14958" w:type="dxa"/>
            <w:gridSpan w:val="4"/>
            <w:shd w:val="clear" w:color="auto" w:fill="D9D9D9" w:themeFill="background1" w:themeFillShade="D9"/>
          </w:tcPr>
          <w:p w:rsidR="002A2827" w:rsidRPr="00EE76D5" w:rsidRDefault="002A2827" w:rsidP="002A2827">
            <w:pPr>
              <w:rPr>
                <w:b/>
              </w:rPr>
            </w:pPr>
            <w:r w:rsidRPr="00EE76D5">
              <w:rPr>
                <w:b/>
              </w:rPr>
              <w:t>Priority 2.</w:t>
            </w:r>
            <w:r>
              <w:rPr>
                <w:b/>
              </w:rPr>
              <w:t xml:space="preserve">  Effective Careers Education, Information, Advice and Guidance (CEIAG) offer.</w:t>
            </w:r>
          </w:p>
        </w:tc>
      </w:tr>
      <w:tr w:rsidR="00975687" w:rsidTr="003E7A3B">
        <w:trPr>
          <w:gridAfter w:val="1"/>
          <w:wAfter w:w="74" w:type="dxa"/>
        </w:trPr>
        <w:tc>
          <w:tcPr>
            <w:tcW w:w="10915" w:type="dxa"/>
          </w:tcPr>
          <w:p w:rsidR="00511C58" w:rsidRDefault="00511C58" w:rsidP="002A2827">
            <w:r>
              <w:t>All colleges to engage with the Lancashire Enterprise Adviser Network and be matched to a local Enterprise Adviser, and embed the Gatsby Benchmarks / Career Compass and employer encounters.</w:t>
            </w:r>
          </w:p>
        </w:tc>
        <w:tc>
          <w:tcPr>
            <w:tcW w:w="1701" w:type="dxa"/>
          </w:tcPr>
          <w:p w:rsidR="00511C58" w:rsidRDefault="00511C58" w:rsidP="002A2827">
            <w:r>
              <w:t>Colleges</w:t>
            </w:r>
          </w:p>
        </w:tc>
        <w:tc>
          <w:tcPr>
            <w:tcW w:w="2268" w:type="dxa"/>
          </w:tcPr>
          <w:p w:rsidR="00511C58" w:rsidRDefault="00511C58" w:rsidP="002A2827">
            <w:proofErr w:type="spellStart"/>
            <w:r>
              <w:t>Inspira</w:t>
            </w:r>
            <w:proofErr w:type="spellEnd"/>
            <w:r>
              <w:t>, LEP</w:t>
            </w:r>
          </w:p>
        </w:tc>
      </w:tr>
      <w:tr w:rsidR="00975687" w:rsidTr="003E7A3B">
        <w:trPr>
          <w:gridAfter w:val="1"/>
          <w:wAfter w:w="74" w:type="dxa"/>
        </w:trPr>
        <w:tc>
          <w:tcPr>
            <w:tcW w:w="10915" w:type="dxa"/>
          </w:tcPr>
          <w:p w:rsidR="00511C58" w:rsidRDefault="00511C58" w:rsidP="002A2827">
            <w:r>
              <w:t>Work with Enterprise Coordinators and Enterprise Advisers to embed college offer to schools in individual school careers plans.</w:t>
            </w:r>
          </w:p>
        </w:tc>
        <w:tc>
          <w:tcPr>
            <w:tcW w:w="1701" w:type="dxa"/>
          </w:tcPr>
          <w:p w:rsidR="00511C58" w:rsidRDefault="00511C58" w:rsidP="002A2827">
            <w:r>
              <w:t>Colleges</w:t>
            </w:r>
          </w:p>
        </w:tc>
        <w:tc>
          <w:tcPr>
            <w:tcW w:w="2268" w:type="dxa"/>
          </w:tcPr>
          <w:p w:rsidR="00511C58" w:rsidRDefault="00511C58" w:rsidP="002A2827">
            <w:proofErr w:type="spellStart"/>
            <w:r>
              <w:t>Inspira</w:t>
            </w:r>
            <w:proofErr w:type="spellEnd"/>
            <w:r>
              <w:t>, LEP</w:t>
            </w:r>
          </w:p>
        </w:tc>
      </w:tr>
      <w:tr w:rsidR="00975687" w:rsidTr="003E7A3B">
        <w:trPr>
          <w:gridAfter w:val="1"/>
          <w:wAfter w:w="74" w:type="dxa"/>
        </w:trPr>
        <w:tc>
          <w:tcPr>
            <w:tcW w:w="10915" w:type="dxa"/>
          </w:tcPr>
          <w:p w:rsidR="0098092E" w:rsidRPr="00CC7C27" w:rsidRDefault="0098092E" w:rsidP="0098092E">
            <w:r w:rsidRPr="00CC7C27">
              <w:t>Share evidence based impact from Opportunity Area activity in Blackpool to inform collaborative working elsewhere in Lancashire (relevant here and to priorities under the Inclusive Workforce).</w:t>
            </w:r>
          </w:p>
          <w:p w:rsidR="00827FBD" w:rsidRPr="003E7A3B" w:rsidRDefault="00827FBD" w:rsidP="003E7A3B">
            <w:pPr>
              <w:rPr>
                <w:color w:val="FF0000"/>
              </w:rPr>
            </w:pPr>
          </w:p>
        </w:tc>
        <w:tc>
          <w:tcPr>
            <w:tcW w:w="1701" w:type="dxa"/>
          </w:tcPr>
          <w:p w:rsidR="003E7A3B" w:rsidRPr="00CC7C27" w:rsidRDefault="0098092E" w:rsidP="0098092E">
            <w:r w:rsidRPr="00CC7C27">
              <w:t>Blackpool OA Partnership Board</w:t>
            </w:r>
          </w:p>
        </w:tc>
        <w:tc>
          <w:tcPr>
            <w:tcW w:w="2268" w:type="dxa"/>
          </w:tcPr>
          <w:p w:rsidR="003E7A3B" w:rsidRPr="00CC7C27" w:rsidRDefault="0098092E" w:rsidP="002A2827">
            <w:r w:rsidRPr="00CC7C27">
              <w:t>Colleges, schools, employers</w:t>
            </w:r>
          </w:p>
          <w:p w:rsidR="003F09FF" w:rsidRPr="00CC7C27" w:rsidRDefault="003F09FF" w:rsidP="002A2827"/>
        </w:tc>
      </w:tr>
      <w:tr w:rsidR="002A2827" w:rsidRPr="005C693D" w:rsidTr="0031629B">
        <w:tc>
          <w:tcPr>
            <w:tcW w:w="14958" w:type="dxa"/>
            <w:gridSpan w:val="4"/>
            <w:shd w:val="clear" w:color="auto" w:fill="D9D9D9" w:themeFill="background1" w:themeFillShade="D9"/>
          </w:tcPr>
          <w:p w:rsidR="002A2827" w:rsidRPr="001309C7" w:rsidRDefault="002A2827" w:rsidP="002A2827">
            <w:pPr>
              <w:rPr>
                <w:b/>
              </w:rPr>
            </w:pPr>
            <w:r>
              <w:rPr>
                <w:b/>
              </w:rPr>
              <w:t>SKILLED AND PRODUCTIVE WORKFORCE</w:t>
            </w:r>
          </w:p>
        </w:tc>
      </w:tr>
      <w:tr w:rsidR="002A2827" w:rsidRPr="005C693D" w:rsidTr="0031629B">
        <w:tc>
          <w:tcPr>
            <w:tcW w:w="14958" w:type="dxa"/>
            <w:gridSpan w:val="4"/>
            <w:shd w:val="clear" w:color="auto" w:fill="D9D9D9" w:themeFill="background1" w:themeFillShade="D9"/>
          </w:tcPr>
          <w:p w:rsidR="002A2827" w:rsidRPr="001309C7" w:rsidRDefault="002A2827" w:rsidP="002A2827">
            <w:pPr>
              <w:rPr>
                <w:b/>
              </w:rPr>
            </w:pPr>
            <w:r>
              <w:rPr>
                <w:b/>
              </w:rPr>
              <w:t>Priority 1.  Develop a high performing Technical Education system across Lancashire.</w:t>
            </w:r>
          </w:p>
        </w:tc>
      </w:tr>
      <w:tr w:rsidR="00975687" w:rsidRPr="006A0C48" w:rsidTr="003E7A3B">
        <w:trPr>
          <w:gridAfter w:val="1"/>
          <w:wAfter w:w="74" w:type="dxa"/>
        </w:trPr>
        <w:tc>
          <w:tcPr>
            <w:tcW w:w="10915" w:type="dxa"/>
            <w:shd w:val="clear" w:color="auto" w:fill="FFFFFF" w:themeFill="background1"/>
          </w:tcPr>
          <w:p w:rsidR="00511C58" w:rsidRDefault="00511C58" w:rsidP="002A2827">
            <w:pPr>
              <w:ind w:left="-43"/>
            </w:pPr>
            <w:r>
              <w:t>Contribute to the development of a Technical Education vision and strategy for Lancashire as part of the SEP refresh.</w:t>
            </w:r>
          </w:p>
          <w:p w:rsidR="00511C58" w:rsidRDefault="00511C58" w:rsidP="002A2827">
            <w:pPr>
              <w:pStyle w:val="ListParagraph"/>
              <w:numPr>
                <w:ilvl w:val="0"/>
                <w:numId w:val="9"/>
              </w:numPr>
            </w:pPr>
            <w:r>
              <w:t>Actively engage in the implementation of the Post-16 Skills Plan and the development and piloting of 'T-Levels'.</w:t>
            </w:r>
          </w:p>
          <w:p w:rsidR="00511C58" w:rsidRDefault="00511C58" w:rsidP="002A2827">
            <w:pPr>
              <w:pStyle w:val="ListParagraph"/>
              <w:numPr>
                <w:ilvl w:val="0"/>
                <w:numId w:val="9"/>
              </w:numPr>
            </w:pPr>
            <w:r>
              <w:t xml:space="preserve">Develop a collaborative approach within and across 'Travel to Work' footprints to ensure access to quality provision at Levels 3 – 5, in accordance with employer and learner demands whilst also minimising duplication. </w:t>
            </w:r>
          </w:p>
          <w:p w:rsidR="00511C58" w:rsidRDefault="00511C58" w:rsidP="002A2827">
            <w:pPr>
              <w:pStyle w:val="ListParagraph"/>
              <w:numPr>
                <w:ilvl w:val="0"/>
                <w:numId w:val="9"/>
              </w:numPr>
            </w:pPr>
            <w:r>
              <w:t>Map progression pathways locally and across Lancashire to provide clarity to learners and employers, to encourage progression working in partnership with Lancashire-based HEIs.</w:t>
            </w:r>
          </w:p>
          <w:p w:rsidR="00511C58" w:rsidRDefault="00511C58" w:rsidP="002A2827">
            <w:pPr>
              <w:pStyle w:val="ListParagraph"/>
              <w:numPr>
                <w:ilvl w:val="0"/>
                <w:numId w:val="9"/>
              </w:numPr>
            </w:pPr>
            <w:r>
              <w:t>Position Lancashire effectively to secure an Institute of Technology which addresses STEM skills shortages and which aims to join the dots on Growth Deal investments and high quality STEM provision.</w:t>
            </w:r>
          </w:p>
          <w:p w:rsidR="00511C58" w:rsidRPr="006A0C48" w:rsidRDefault="00511C58" w:rsidP="002A2827">
            <w:pPr>
              <w:ind w:left="-43"/>
            </w:pPr>
          </w:p>
        </w:tc>
        <w:tc>
          <w:tcPr>
            <w:tcW w:w="1701" w:type="dxa"/>
            <w:shd w:val="clear" w:color="auto" w:fill="FFFFFF" w:themeFill="background1"/>
          </w:tcPr>
          <w:p w:rsidR="00511C58" w:rsidRPr="006A0C48" w:rsidRDefault="00511C58" w:rsidP="002A2827">
            <w:pPr>
              <w:ind w:left="-43"/>
            </w:pPr>
            <w:r>
              <w:t>LEP</w:t>
            </w:r>
          </w:p>
        </w:tc>
        <w:tc>
          <w:tcPr>
            <w:tcW w:w="2268" w:type="dxa"/>
            <w:shd w:val="clear" w:color="auto" w:fill="FFFFFF" w:themeFill="background1"/>
          </w:tcPr>
          <w:p w:rsidR="00511C58" w:rsidRPr="006A0C48" w:rsidRDefault="00511C58" w:rsidP="002A2827">
            <w:pPr>
              <w:ind w:left="-43"/>
            </w:pPr>
            <w:r>
              <w:t xml:space="preserve">TLC, </w:t>
            </w:r>
            <w:r w:rsidR="00827FBD">
              <w:t>L</w:t>
            </w:r>
            <w:r>
              <w:t>CA</w:t>
            </w:r>
          </w:p>
        </w:tc>
      </w:tr>
      <w:tr w:rsidR="00975687" w:rsidRPr="006A0C48" w:rsidTr="003E7A3B">
        <w:trPr>
          <w:gridAfter w:val="1"/>
          <w:wAfter w:w="74" w:type="dxa"/>
        </w:trPr>
        <w:tc>
          <w:tcPr>
            <w:tcW w:w="10915" w:type="dxa"/>
            <w:shd w:val="clear" w:color="auto" w:fill="FFFFFF" w:themeFill="background1"/>
          </w:tcPr>
          <w:p w:rsidR="00511C58" w:rsidRPr="006A0C48" w:rsidRDefault="00511C58" w:rsidP="00827FBD">
            <w:pPr>
              <w:ind w:left="-43"/>
            </w:pPr>
            <w:r w:rsidRPr="00BB6E24">
              <w:t xml:space="preserve">Collaborate to develop and promote a good/outstanding </w:t>
            </w:r>
            <w:r w:rsidR="00827FBD">
              <w:t xml:space="preserve">education and training </w:t>
            </w:r>
            <w:r w:rsidRPr="00BB6E24">
              <w:t xml:space="preserve">offer across Lancashire, sharing good practice between </w:t>
            </w:r>
            <w:r w:rsidR="00827FBD">
              <w:t>providers</w:t>
            </w:r>
            <w:r w:rsidR="00827FBD" w:rsidRPr="00BB6E24">
              <w:t xml:space="preserve"> </w:t>
            </w:r>
            <w:r w:rsidRPr="00BB6E24">
              <w:t>and</w:t>
            </w:r>
            <w:r w:rsidR="00827FBD">
              <w:t xml:space="preserve"> </w:t>
            </w:r>
            <w:r w:rsidRPr="00BB6E24">
              <w:t>engaging in joint CPD activities</w:t>
            </w:r>
            <w:r w:rsidR="00827FBD">
              <w:t xml:space="preserve">, including all partners where </w:t>
            </w:r>
            <w:proofErr w:type="gramStart"/>
            <w:r w:rsidR="00827FBD">
              <w:t xml:space="preserve">feasible </w:t>
            </w:r>
            <w:r w:rsidRPr="00BB6E24">
              <w:t>.</w:t>
            </w:r>
            <w:proofErr w:type="gramEnd"/>
          </w:p>
        </w:tc>
        <w:tc>
          <w:tcPr>
            <w:tcW w:w="1701" w:type="dxa"/>
            <w:shd w:val="clear" w:color="auto" w:fill="FFFFFF" w:themeFill="background1"/>
          </w:tcPr>
          <w:p w:rsidR="00511C58" w:rsidRDefault="00827FBD" w:rsidP="002A2827">
            <w:pPr>
              <w:ind w:left="-43"/>
            </w:pPr>
            <w:r>
              <w:t>TLC</w:t>
            </w:r>
          </w:p>
        </w:tc>
        <w:tc>
          <w:tcPr>
            <w:tcW w:w="2268" w:type="dxa"/>
            <w:shd w:val="clear" w:color="auto" w:fill="FFFFFF" w:themeFill="background1"/>
          </w:tcPr>
          <w:p w:rsidR="00511C58" w:rsidRDefault="009411C0" w:rsidP="009411C0">
            <w:r>
              <w:t>LESEP</w:t>
            </w:r>
          </w:p>
        </w:tc>
      </w:tr>
      <w:tr w:rsidR="00975687" w:rsidRPr="006A0C48" w:rsidTr="003E7A3B">
        <w:trPr>
          <w:gridAfter w:val="1"/>
          <w:wAfter w:w="74" w:type="dxa"/>
        </w:trPr>
        <w:tc>
          <w:tcPr>
            <w:tcW w:w="10915" w:type="dxa"/>
            <w:shd w:val="clear" w:color="auto" w:fill="FFFFFF" w:themeFill="background1"/>
          </w:tcPr>
          <w:p w:rsidR="00511C58" w:rsidRPr="006A0C48" w:rsidRDefault="00511C58" w:rsidP="002A2827">
            <w:pPr>
              <w:ind w:left="-43"/>
            </w:pPr>
            <w:r>
              <w:lastRenderedPageBreak/>
              <w:t xml:space="preserve">Develop a pool of industry experts who are able to co-create and co-deliver within the Technical Education offer. </w:t>
            </w:r>
          </w:p>
        </w:tc>
        <w:tc>
          <w:tcPr>
            <w:tcW w:w="1701" w:type="dxa"/>
            <w:shd w:val="clear" w:color="auto" w:fill="FFFFFF" w:themeFill="background1"/>
          </w:tcPr>
          <w:p w:rsidR="00511C58" w:rsidRDefault="009411C0" w:rsidP="002A2827">
            <w:pPr>
              <w:ind w:left="-43"/>
            </w:pPr>
            <w:r>
              <w:t>Colleges</w:t>
            </w:r>
          </w:p>
        </w:tc>
        <w:tc>
          <w:tcPr>
            <w:tcW w:w="2268" w:type="dxa"/>
            <w:shd w:val="clear" w:color="auto" w:fill="FFFFFF" w:themeFill="background1"/>
          </w:tcPr>
          <w:p w:rsidR="00511C58" w:rsidRDefault="009411C0" w:rsidP="002A2827">
            <w:pPr>
              <w:ind w:left="-43"/>
            </w:pPr>
            <w:r>
              <w:t>LESEP</w:t>
            </w:r>
            <w:r w:rsidR="00BA6D9F">
              <w:t>, employers</w:t>
            </w:r>
          </w:p>
        </w:tc>
      </w:tr>
      <w:tr w:rsidR="002A2827" w:rsidRPr="005C693D" w:rsidTr="0031629B">
        <w:tc>
          <w:tcPr>
            <w:tcW w:w="14958" w:type="dxa"/>
            <w:gridSpan w:val="4"/>
            <w:shd w:val="clear" w:color="auto" w:fill="D9D9D9" w:themeFill="background1" w:themeFillShade="D9"/>
          </w:tcPr>
          <w:p w:rsidR="002A2827" w:rsidRPr="00FB5020" w:rsidRDefault="002A2827" w:rsidP="002A2827">
            <w:pPr>
              <w:rPr>
                <w:b/>
              </w:rPr>
            </w:pPr>
            <w:r>
              <w:rPr>
                <w:b/>
              </w:rPr>
              <w:t>Priority 2.  Commitment to the Lancashire Apprenticeship Growth Plan and further development (as a component of the Technical Education system).</w:t>
            </w:r>
          </w:p>
        </w:tc>
      </w:tr>
      <w:tr w:rsidR="00975687" w:rsidRPr="007C25C5" w:rsidTr="003E7A3B">
        <w:trPr>
          <w:gridAfter w:val="1"/>
          <w:wAfter w:w="74" w:type="dxa"/>
        </w:trPr>
        <w:tc>
          <w:tcPr>
            <w:tcW w:w="10915" w:type="dxa"/>
            <w:shd w:val="clear" w:color="auto" w:fill="FFFFFF" w:themeFill="background1"/>
          </w:tcPr>
          <w:p w:rsidR="00511C58" w:rsidRPr="007C25C5" w:rsidRDefault="00511C58" w:rsidP="0098092E">
            <w:pPr>
              <w:ind w:left="-43"/>
            </w:pPr>
            <w:r>
              <w:t xml:space="preserve">Commitment to the implementation of the Lancashire </w:t>
            </w:r>
            <w:r w:rsidR="0098092E">
              <w:t>Apprenticeship</w:t>
            </w:r>
            <w:r>
              <w:t xml:space="preserve"> Plan and allied actions.</w:t>
            </w:r>
            <w:r w:rsidR="00827FBD">
              <w:t xml:space="preserve"> </w:t>
            </w:r>
          </w:p>
        </w:tc>
        <w:tc>
          <w:tcPr>
            <w:tcW w:w="1701" w:type="dxa"/>
            <w:shd w:val="clear" w:color="auto" w:fill="FFFFFF" w:themeFill="background1"/>
          </w:tcPr>
          <w:p w:rsidR="00511C58" w:rsidRPr="007C25C5" w:rsidRDefault="00827FBD" w:rsidP="002A2827">
            <w:pPr>
              <w:ind w:left="-43"/>
            </w:pPr>
            <w:r>
              <w:t>LEP</w:t>
            </w:r>
          </w:p>
        </w:tc>
        <w:tc>
          <w:tcPr>
            <w:tcW w:w="2268" w:type="dxa"/>
            <w:shd w:val="clear" w:color="auto" w:fill="FFFFFF" w:themeFill="background1"/>
          </w:tcPr>
          <w:p w:rsidR="00511C58" w:rsidRPr="007C25C5" w:rsidRDefault="00827FBD" w:rsidP="002A2827">
            <w:pPr>
              <w:ind w:left="-43"/>
            </w:pPr>
            <w:r>
              <w:t>All</w:t>
            </w:r>
          </w:p>
        </w:tc>
      </w:tr>
      <w:tr w:rsidR="00975687" w:rsidRPr="00A029DF" w:rsidTr="003E7A3B">
        <w:trPr>
          <w:gridAfter w:val="1"/>
          <w:wAfter w:w="74" w:type="dxa"/>
        </w:trPr>
        <w:tc>
          <w:tcPr>
            <w:tcW w:w="10915" w:type="dxa"/>
          </w:tcPr>
          <w:p w:rsidR="00511C58" w:rsidRPr="00A029DF" w:rsidRDefault="00511C58" w:rsidP="002A2827">
            <w:r>
              <w:t>Further development of a collaborative approach beyond joint marketing, and investigation of joint approaches to brokerage and a 'no wrong door' approach to engaging business intermediaries and SMEs.</w:t>
            </w:r>
          </w:p>
        </w:tc>
        <w:tc>
          <w:tcPr>
            <w:tcW w:w="1701" w:type="dxa"/>
          </w:tcPr>
          <w:p w:rsidR="00827FBD" w:rsidRPr="00A029DF" w:rsidRDefault="00827FBD" w:rsidP="009411C0">
            <w:pPr>
              <w:jc w:val="both"/>
            </w:pPr>
            <w:r>
              <w:t>LESEP</w:t>
            </w:r>
          </w:p>
        </w:tc>
        <w:tc>
          <w:tcPr>
            <w:tcW w:w="2268" w:type="dxa"/>
          </w:tcPr>
          <w:p w:rsidR="00511C58" w:rsidRPr="00A029DF" w:rsidRDefault="009411C0" w:rsidP="002A2827">
            <w:r>
              <w:t>LEP</w:t>
            </w:r>
          </w:p>
        </w:tc>
      </w:tr>
      <w:tr w:rsidR="002A2827" w:rsidTr="00285356">
        <w:tc>
          <w:tcPr>
            <w:tcW w:w="14958" w:type="dxa"/>
            <w:gridSpan w:val="4"/>
            <w:shd w:val="clear" w:color="auto" w:fill="D9D9D9" w:themeFill="background1" w:themeFillShade="D9"/>
          </w:tcPr>
          <w:p w:rsidR="002A2827" w:rsidRDefault="002A2827" w:rsidP="002A2827">
            <w:r>
              <w:rPr>
                <w:b/>
              </w:rPr>
              <w:t>Priority 3.  Develop a collaborative approach to employer engagement to support the implementation of an effective Technical Education system.</w:t>
            </w:r>
          </w:p>
        </w:tc>
      </w:tr>
      <w:tr w:rsidR="00975687" w:rsidTr="003E7A3B">
        <w:trPr>
          <w:gridAfter w:val="1"/>
          <w:wAfter w:w="74" w:type="dxa"/>
        </w:trPr>
        <w:tc>
          <w:tcPr>
            <w:tcW w:w="10915" w:type="dxa"/>
            <w:shd w:val="clear" w:color="auto" w:fill="FFFFFF" w:themeFill="background1"/>
          </w:tcPr>
          <w:p w:rsidR="00511C58" w:rsidRDefault="00511C58" w:rsidP="002A2827">
            <w:r>
              <w:t>Identify opportunities to work with</w:t>
            </w:r>
            <w:r w:rsidR="0098092E">
              <w:t xml:space="preserve"> Boost &amp;</w:t>
            </w:r>
            <w:r>
              <w:t xml:space="preserve"> </w:t>
            </w:r>
            <w:r w:rsidR="005B2122">
              <w:t>Growth Lancashire</w:t>
            </w:r>
            <w:r>
              <w:t>, Chambers, FSB and other employer networks to engage SMEs, developing innovative approaches to secure greater involvement in education and training e.g. informing curriculum, offering work experience and placements, developing apprenticeship opportunities, etc.</w:t>
            </w:r>
          </w:p>
          <w:p w:rsidR="00511C58" w:rsidRPr="00872CEA" w:rsidRDefault="00511C58" w:rsidP="002A2827">
            <w:pPr>
              <w:rPr>
                <w:i/>
              </w:rPr>
            </w:pPr>
          </w:p>
        </w:tc>
        <w:tc>
          <w:tcPr>
            <w:tcW w:w="1701" w:type="dxa"/>
            <w:shd w:val="clear" w:color="auto" w:fill="FFFFFF" w:themeFill="background1"/>
          </w:tcPr>
          <w:p w:rsidR="00511C58" w:rsidRDefault="00511C58" w:rsidP="002A2827"/>
          <w:p w:rsidR="005B2122" w:rsidRPr="007D2371" w:rsidRDefault="005B2122" w:rsidP="002A2827">
            <w:r>
              <w:t>LESEP</w:t>
            </w:r>
          </w:p>
        </w:tc>
        <w:tc>
          <w:tcPr>
            <w:tcW w:w="2268" w:type="dxa"/>
            <w:shd w:val="clear" w:color="auto" w:fill="FFFFFF" w:themeFill="background1"/>
          </w:tcPr>
          <w:p w:rsidR="00511C58" w:rsidRPr="00A419FF" w:rsidRDefault="0098092E" w:rsidP="0098092E">
            <w:r>
              <w:t xml:space="preserve">Boost &amp; </w:t>
            </w:r>
            <w:r w:rsidR="005B2122">
              <w:t xml:space="preserve">Growth </w:t>
            </w:r>
            <w:r>
              <w:t>Lancashire</w:t>
            </w:r>
            <w:r w:rsidR="00511C58" w:rsidRPr="00A419FF">
              <w:t xml:space="preserve">, </w:t>
            </w:r>
            <w:proofErr w:type="spellStart"/>
            <w:r w:rsidR="005B2122">
              <w:t>LCA,Las</w:t>
            </w:r>
            <w:proofErr w:type="spellEnd"/>
            <w:r w:rsidR="005B2122">
              <w:t xml:space="preserve">, LEP, </w:t>
            </w:r>
            <w:r w:rsidR="00511C58" w:rsidRPr="00A419FF">
              <w:t>Chambers, Employer Networks</w:t>
            </w:r>
          </w:p>
        </w:tc>
      </w:tr>
      <w:tr w:rsidR="002A2827" w:rsidRPr="005C693D" w:rsidTr="0031629B">
        <w:tc>
          <w:tcPr>
            <w:tcW w:w="14958" w:type="dxa"/>
            <w:gridSpan w:val="4"/>
            <w:shd w:val="clear" w:color="auto" w:fill="D9D9D9" w:themeFill="background1" w:themeFillShade="D9"/>
          </w:tcPr>
          <w:p w:rsidR="002A2827" w:rsidRPr="00C216D5" w:rsidRDefault="002A2827" w:rsidP="002A2827">
            <w:pPr>
              <w:rPr>
                <w:b/>
                <w:i/>
              </w:rPr>
            </w:pPr>
            <w:r>
              <w:rPr>
                <w:b/>
              </w:rPr>
              <w:t>INCLUSIVE WORKFORCE</w:t>
            </w:r>
          </w:p>
        </w:tc>
      </w:tr>
      <w:tr w:rsidR="002A2827" w:rsidRPr="005C693D" w:rsidTr="0031629B">
        <w:tc>
          <w:tcPr>
            <w:tcW w:w="14958" w:type="dxa"/>
            <w:gridSpan w:val="4"/>
            <w:shd w:val="clear" w:color="auto" w:fill="D9D9D9" w:themeFill="background1" w:themeFillShade="D9"/>
          </w:tcPr>
          <w:p w:rsidR="002A2827" w:rsidRPr="00857E2D" w:rsidRDefault="002A2827" w:rsidP="002A2827">
            <w:pPr>
              <w:rPr>
                <w:b/>
              </w:rPr>
            </w:pPr>
            <w:r>
              <w:rPr>
                <w:b/>
              </w:rPr>
              <w:t>Priority 1.  Apply the concept of the 'Skills Escalator' so that provision is outcome focused – raising employability skills, skills levels and aspirations of unemployed adults and NEET.</w:t>
            </w:r>
          </w:p>
          <w:p w:rsidR="002A2827" w:rsidRPr="005C693D" w:rsidRDefault="002A2827" w:rsidP="002A2827">
            <w:pPr>
              <w:ind w:left="317"/>
              <w:rPr>
                <w:b/>
              </w:rPr>
            </w:pPr>
          </w:p>
        </w:tc>
      </w:tr>
      <w:tr w:rsidR="00975687" w:rsidTr="003E7A3B">
        <w:trPr>
          <w:gridAfter w:val="1"/>
          <w:wAfter w:w="74" w:type="dxa"/>
        </w:trPr>
        <w:tc>
          <w:tcPr>
            <w:tcW w:w="10915" w:type="dxa"/>
          </w:tcPr>
          <w:p w:rsidR="00511C58" w:rsidRDefault="00511C58" w:rsidP="002A2827">
            <w:r>
              <w:t>Maximise the impact of Lancashire Adult Learning (LAL), and the Unitary LA’s Community Learning offers by identifying progression routes for learners into colleges.</w:t>
            </w:r>
          </w:p>
          <w:p w:rsidR="00511C58" w:rsidRDefault="00511C58" w:rsidP="002A2827"/>
        </w:tc>
        <w:tc>
          <w:tcPr>
            <w:tcW w:w="1701" w:type="dxa"/>
          </w:tcPr>
          <w:p w:rsidR="00511C58" w:rsidRDefault="00BA6D9F" w:rsidP="002A2827">
            <w:r>
              <w:t>CALL (LAL, BWD and Blackpool Councils)</w:t>
            </w:r>
          </w:p>
        </w:tc>
        <w:tc>
          <w:tcPr>
            <w:tcW w:w="2268" w:type="dxa"/>
          </w:tcPr>
          <w:p w:rsidR="00511C58" w:rsidRDefault="00BA6D9F" w:rsidP="00BA6D9F">
            <w:r>
              <w:t>Providers with community learning budgets</w:t>
            </w:r>
          </w:p>
        </w:tc>
      </w:tr>
      <w:tr w:rsidR="00975687" w:rsidTr="003E7A3B">
        <w:trPr>
          <w:gridAfter w:val="1"/>
          <w:wAfter w:w="74" w:type="dxa"/>
        </w:trPr>
        <w:tc>
          <w:tcPr>
            <w:tcW w:w="10915" w:type="dxa"/>
          </w:tcPr>
          <w:p w:rsidR="00511C58" w:rsidRDefault="00511C58" w:rsidP="002A2827">
            <w:r>
              <w:t>Maximise the impact of the 'Access to Employment' &amp; 'Moving On' ESF projects by working with other ESF providers to embed the Skills Escalator and support progression to employment, apprenticeships or further learning.  Use collective evaluation to influence future ESIF procurement and future domestic programmes.</w:t>
            </w:r>
          </w:p>
        </w:tc>
        <w:tc>
          <w:tcPr>
            <w:tcW w:w="1701" w:type="dxa"/>
          </w:tcPr>
          <w:p w:rsidR="00511C58" w:rsidRDefault="00511C58" w:rsidP="002A2827">
            <w:r>
              <w:t>LESEP</w:t>
            </w:r>
          </w:p>
        </w:tc>
        <w:tc>
          <w:tcPr>
            <w:tcW w:w="2268" w:type="dxa"/>
          </w:tcPr>
          <w:p w:rsidR="00511C58" w:rsidRDefault="00511C58" w:rsidP="002A2827">
            <w:r>
              <w:t>RSLs</w:t>
            </w:r>
          </w:p>
        </w:tc>
      </w:tr>
      <w:tr w:rsidR="00975687" w:rsidRPr="00561B7E" w:rsidTr="003E7A3B">
        <w:trPr>
          <w:gridAfter w:val="1"/>
          <w:wAfter w:w="74" w:type="dxa"/>
        </w:trPr>
        <w:tc>
          <w:tcPr>
            <w:tcW w:w="10915" w:type="dxa"/>
          </w:tcPr>
          <w:p w:rsidR="00511C58" w:rsidRDefault="00511C58" w:rsidP="002A2827">
            <w:r w:rsidRPr="009C3B84">
              <w:t xml:space="preserve">Build on </w:t>
            </w:r>
            <w:r>
              <w:t>data sharing protocols developed for the NEET ESF project (Moving On) to ensure information exchange between colleges and LAs regarding young people’s attendance destinations.</w:t>
            </w:r>
          </w:p>
        </w:tc>
        <w:tc>
          <w:tcPr>
            <w:tcW w:w="1701" w:type="dxa"/>
          </w:tcPr>
          <w:p w:rsidR="00511C58" w:rsidRDefault="00511C58" w:rsidP="002A2827">
            <w:r>
              <w:t>TLC/LAs</w:t>
            </w:r>
          </w:p>
        </w:tc>
        <w:tc>
          <w:tcPr>
            <w:tcW w:w="2268" w:type="dxa"/>
          </w:tcPr>
          <w:p w:rsidR="00511C58" w:rsidRDefault="00511C58" w:rsidP="002A2827">
            <w:r>
              <w:t>LAs</w:t>
            </w:r>
          </w:p>
        </w:tc>
      </w:tr>
      <w:tr w:rsidR="002A2827" w:rsidRPr="005C693D" w:rsidTr="0031629B">
        <w:tc>
          <w:tcPr>
            <w:tcW w:w="14958" w:type="dxa"/>
            <w:gridSpan w:val="4"/>
            <w:shd w:val="clear" w:color="auto" w:fill="D9D9D9" w:themeFill="background1" w:themeFillShade="D9"/>
          </w:tcPr>
          <w:p w:rsidR="002A2827" w:rsidRPr="00093F30" w:rsidRDefault="002A2827" w:rsidP="002A2827">
            <w:pPr>
              <w:rPr>
                <w:b/>
              </w:rPr>
            </w:pPr>
            <w:r>
              <w:rPr>
                <w:b/>
              </w:rPr>
              <w:t>Priority 2.  Provide adequate provision to young people with complex needs, particularly in areas of higher deprivation.</w:t>
            </w:r>
          </w:p>
        </w:tc>
      </w:tr>
      <w:tr w:rsidR="00975687" w:rsidRPr="00916929" w:rsidTr="003E7A3B">
        <w:trPr>
          <w:gridAfter w:val="1"/>
          <w:wAfter w:w="74" w:type="dxa"/>
        </w:trPr>
        <w:tc>
          <w:tcPr>
            <w:tcW w:w="10915" w:type="dxa"/>
          </w:tcPr>
          <w:p w:rsidR="00511C58" w:rsidRPr="00916929" w:rsidRDefault="00511C58" w:rsidP="002A2827">
            <w:pPr>
              <w:rPr>
                <w:color w:val="000000"/>
              </w:rPr>
            </w:pPr>
            <w:r w:rsidRPr="00916929">
              <w:t xml:space="preserve">Continue to work with LAs to ensure </w:t>
            </w:r>
            <w:r w:rsidR="005B2122">
              <w:t>colleges</w:t>
            </w:r>
            <w:r w:rsidRPr="00916929">
              <w:t xml:space="preserve"> are meeting our Statutory Duties </w:t>
            </w:r>
            <w:r w:rsidRPr="00916929">
              <w:rPr>
                <w:color w:val="000000"/>
              </w:rPr>
              <w:t>to identify, assess and provide support for young people with special educational needs (SEN).</w:t>
            </w:r>
          </w:p>
          <w:p w:rsidR="00511C58" w:rsidRPr="00916929" w:rsidRDefault="00511C58" w:rsidP="002A2827"/>
        </w:tc>
        <w:tc>
          <w:tcPr>
            <w:tcW w:w="1701" w:type="dxa"/>
          </w:tcPr>
          <w:p w:rsidR="00511C58" w:rsidRPr="00916929" w:rsidRDefault="005B2122" w:rsidP="002A2827">
            <w:r>
              <w:t>Colleges/LAs</w:t>
            </w:r>
          </w:p>
        </w:tc>
        <w:tc>
          <w:tcPr>
            <w:tcW w:w="2268" w:type="dxa"/>
          </w:tcPr>
          <w:p w:rsidR="00511C58" w:rsidRPr="00916929" w:rsidRDefault="00511C58" w:rsidP="002A2827">
            <w:r>
              <w:t>LAs</w:t>
            </w:r>
          </w:p>
        </w:tc>
      </w:tr>
      <w:tr w:rsidR="00975687" w:rsidRPr="00916929" w:rsidTr="003E7A3B">
        <w:trPr>
          <w:gridAfter w:val="1"/>
          <w:wAfter w:w="74" w:type="dxa"/>
        </w:trPr>
        <w:tc>
          <w:tcPr>
            <w:tcW w:w="10915" w:type="dxa"/>
          </w:tcPr>
          <w:p w:rsidR="00511C58" w:rsidRPr="00916929" w:rsidRDefault="00511C58" w:rsidP="002A2827">
            <w:r w:rsidRPr="00916929">
              <w:t xml:space="preserve">Continue to work with LAs and </w:t>
            </w:r>
            <w:r>
              <w:t>feeder-</w:t>
            </w:r>
            <w:r w:rsidRPr="00916929">
              <w:t>schools to define clear transition plans to support young people with SEN to progress into further education.</w:t>
            </w:r>
          </w:p>
          <w:p w:rsidR="00511C58" w:rsidRPr="00916929" w:rsidRDefault="00511C58" w:rsidP="002A2827"/>
        </w:tc>
        <w:tc>
          <w:tcPr>
            <w:tcW w:w="1701" w:type="dxa"/>
          </w:tcPr>
          <w:p w:rsidR="00511C58" w:rsidRPr="00916929" w:rsidRDefault="005B2122" w:rsidP="002A2827">
            <w:r>
              <w:t>Colleges/LAs</w:t>
            </w:r>
          </w:p>
        </w:tc>
        <w:tc>
          <w:tcPr>
            <w:tcW w:w="2268" w:type="dxa"/>
          </w:tcPr>
          <w:p w:rsidR="00511C58" w:rsidRPr="00916929" w:rsidRDefault="00511C58" w:rsidP="002A2827">
            <w:r>
              <w:t>LAs / RSC (schools)</w:t>
            </w:r>
          </w:p>
        </w:tc>
      </w:tr>
      <w:tr w:rsidR="00975687" w:rsidRPr="00916929" w:rsidTr="003E7A3B">
        <w:trPr>
          <w:gridAfter w:val="1"/>
          <w:wAfter w:w="74" w:type="dxa"/>
        </w:trPr>
        <w:tc>
          <w:tcPr>
            <w:tcW w:w="10915" w:type="dxa"/>
          </w:tcPr>
          <w:p w:rsidR="00511C58" w:rsidRPr="00916929" w:rsidRDefault="00511C58" w:rsidP="002A2827">
            <w:r w:rsidRPr="00916929">
              <w:t>Map the current SEN/High Needs offer across Lancashire to identify:</w:t>
            </w:r>
          </w:p>
          <w:p w:rsidR="00511C58" w:rsidRPr="00916929" w:rsidRDefault="00511C58" w:rsidP="002A2827">
            <w:pPr>
              <w:pStyle w:val="ListParagraph"/>
              <w:numPr>
                <w:ilvl w:val="0"/>
                <w:numId w:val="8"/>
              </w:numPr>
            </w:pPr>
            <w:r w:rsidRPr="00916929">
              <w:t xml:space="preserve">Areas where provision is not </w:t>
            </w:r>
            <w:r>
              <w:t>available within reasonable 'Travel to Learn'</w:t>
            </w:r>
            <w:r w:rsidRPr="00916929">
              <w:t xml:space="preserve"> distances</w:t>
            </w:r>
            <w:r>
              <w:t>.</w:t>
            </w:r>
          </w:p>
          <w:p w:rsidR="00511C58" w:rsidRPr="00916929" w:rsidRDefault="00511C58" w:rsidP="002A2827">
            <w:pPr>
              <w:pStyle w:val="ListParagraph"/>
              <w:numPr>
                <w:ilvl w:val="0"/>
                <w:numId w:val="8"/>
              </w:numPr>
            </w:pPr>
            <w:r w:rsidRPr="00916929">
              <w:lastRenderedPageBreak/>
              <w:t>The extent to which provision is available at levels appropriate to individual abilities</w:t>
            </w:r>
            <w:r>
              <w:t>, from pre-entry level.</w:t>
            </w:r>
          </w:p>
          <w:p w:rsidR="00511C58" w:rsidRPr="00916929" w:rsidRDefault="00511C58" w:rsidP="002A2827">
            <w:r w:rsidRPr="00916929">
              <w:t>Whether progression routes encourage aspiration and progression on a ‘pathway to independence’</w:t>
            </w:r>
            <w:r>
              <w:t>.</w:t>
            </w:r>
          </w:p>
        </w:tc>
        <w:tc>
          <w:tcPr>
            <w:tcW w:w="1701" w:type="dxa"/>
          </w:tcPr>
          <w:p w:rsidR="00511C58" w:rsidRPr="00916929" w:rsidRDefault="005B2122" w:rsidP="002A2827">
            <w:r>
              <w:lastRenderedPageBreak/>
              <w:t>LAs</w:t>
            </w:r>
          </w:p>
        </w:tc>
        <w:tc>
          <w:tcPr>
            <w:tcW w:w="2268" w:type="dxa"/>
          </w:tcPr>
          <w:p w:rsidR="00511C58" w:rsidRPr="00916929" w:rsidRDefault="00511C58" w:rsidP="002A2827">
            <w:r>
              <w:t>LAs, specialist institutions</w:t>
            </w:r>
          </w:p>
          <w:p w:rsidR="00511C58" w:rsidRPr="00916929" w:rsidRDefault="00511C58" w:rsidP="002A2827"/>
        </w:tc>
      </w:tr>
      <w:tr w:rsidR="00975687" w:rsidRPr="00916929" w:rsidTr="003E7A3B">
        <w:trPr>
          <w:gridAfter w:val="1"/>
          <w:wAfter w:w="74" w:type="dxa"/>
        </w:trPr>
        <w:tc>
          <w:tcPr>
            <w:tcW w:w="10915" w:type="dxa"/>
          </w:tcPr>
          <w:p w:rsidR="00511C58" w:rsidRPr="00916929" w:rsidRDefault="00511C58" w:rsidP="002A2827">
            <w:r w:rsidRPr="00916929">
              <w:lastRenderedPageBreak/>
              <w:t xml:space="preserve">Work with the LAs to forecast future demand for SEN/High </w:t>
            </w:r>
            <w:r>
              <w:t>Needs Places to support planning.</w:t>
            </w:r>
          </w:p>
        </w:tc>
        <w:tc>
          <w:tcPr>
            <w:tcW w:w="1701" w:type="dxa"/>
          </w:tcPr>
          <w:p w:rsidR="00511C58" w:rsidRPr="00916929" w:rsidRDefault="005B2122" w:rsidP="002A2827">
            <w:r>
              <w:t>TLC</w:t>
            </w:r>
            <w:r w:rsidR="00975687">
              <w:t>/LAs</w:t>
            </w:r>
          </w:p>
        </w:tc>
        <w:tc>
          <w:tcPr>
            <w:tcW w:w="2268" w:type="dxa"/>
          </w:tcPr>
          <w:p w:rsidR="00511C58" w:rsidRPr="00916929" w:rsidRDefault="00511C58" w:rsidP="002A2827">
            <w:r>
              <w:t>LAs</w:t>
            </w:r>
          </w:p>
        </w:tc>
      </w:tr>
      <w:tr w:rsidR="00975687" w:rsidRPr="00916929" w:rsidTr="003E7A3B">
        <w:trPr>
          <w:gridAfter w:val="1"/>
          <w:wAfter w:w="74" w:type="dxa"/>
        </w:trPr>
        <w:tc>
          <w:tcPr>
            <w:tcW w:w="10915" w:type="dxa"/>
          </w:tcPr>
          <w:p w:rsidR="00511C58" w:rsidRPr="00916929" w:rsidRDefault="00511C58" w:rsidP="002A2827">
            <w:r w:rsidRPr="00916929">
              <w:t>Consider potential service improvements and efficiencies that might be achieved through greater collaboration e.g. sharing specialist staff, equipment or facilities or jointly procuring additional specialist support.</w:t>
            </w:r>
          </w:p>
        </w:tc>
        <w:tc>
          <w:tcPr>
            <w:tcW w:w="1701" w:type="dxa"/>
          </w:tcPr>
          <w:p w:rsidR="00511C58" w:rsidRPr="00916929" w:rsidRDefault="009411C0" w:rsidP="002A2827">
            <w:r>
              <w:t>TLC</w:t>
            </w:r>
          </w:p>
        </w:tc>
        <w:tc>
          <w:tcPr>
            <w:tcW w:w="2268" w:type="dxa"/>
          </w:tcPr>
          <w:p w:rsidR="00511C58" w:rsidRPr="00916929" w:rsidRDefault="009411C0" w:rsidP="002A2827">
            <w:r>
              <w:t>LESEP, LEP, employers</w:t>
            </w:r>
          </w:p>
        </w:tc>
      </w:tr>
      <w:tr w:rsidR="00975687" w:rsidRPr="00916929" w:rsidTr="003E7A3B">
        <w:trPr>
          <w:gridAfter w:val="1"/>
          <w:wAfter w:w="74" w:type="dxa"/>
        </w:trPr>
        <w:tc>
          <w:tcPr>
            <w:tcW w:w="10915" w:type="dxa"/>
          </w:tcPr>
          <w:p w:rsidR="00511C58" w:rsidRPr="00916929" w:rsidRDefault="00511C58" w:rsidP="002A2827">
            <w:r w:rsidRPr="00916929">
              <w:t xml:space="preserve">Develop </w:t>
            </w:r>
            <w:r>
              <w:t xml:space="preserve">further </w:t>
            </w:r>
            <w:r w:rsidRPr="00916929">
              <w:t>and test models for suppo</w:t>
            </w:r>
            <w:r>
              <w:t>rted internships, traineeships and apprenticeships.</w:t>
            </w:r>
          </w:p>
        </w:tc>
        <w:tc>
          <w:tcPr>
            <w:tcW w:w="1701" w:type="dxa"/>
          </w:tcPr>
          <w:p w:rsidR="00511C58" w:rsidRPr="00916929" w:rsidRDefault="0098092E" w:rsidP="002A2827">
            <w:r>
              <w:t>TLC</w:t>
            </w:r>
          </w:p>
        </w:tc>
        <w:tc>
          <w:tcPr>
            <w:tcW w:w="2268" w:type="dxa"/>
          </w:tcPr>
          <w:p w:rsidR="00511C58" w:rsidRPr="00916929" w:rsidRDefault="00511C58" w:rsidP="002A2827">
            <w:r>
              <w:t>Employers</w:t>
            </w:r>
          </w:p>
        </w:tc>
      </w:tr>
      <w:tr w:rsidR="002A2827" w:rsidTr="00857E2D">
        <w:tc>
          <w:tcPr>
            <w:tcW w:w="14958" w:type="dxa"/>
            <w:gridSpan w:val="4"/>
            <w:shd w:val="clear" w:color="auto" w:fill="D9D9D9" w:themeFill="background1" w:themeFillShade="D9"/>
          </w:tcPr>
          <w:p w:rsidR="002A2827" w:rsidRPr="00857E2D" w:rsidRDefault="002A2827" w:rsidP="002A2827">
            <w:pPr>
              <w:rPr>
                <w:b/>
              </w:rPr>
            </w:pPr>
            <w:r w:rsidRPr="00857E2D">
              <w:rPr>
                <w:b/>
              </w:rPr>
              <w:t>Priority 3. Embedding support for lea</w:t>
            </w:r>
            <w:r>
              <w:rPr>
                <w:b/>
              </w:rPr>
              <w:t>rners with mental health issues</w:t>
            </w:r>
          </w:p>
        </w:tc>
      </w:tr>
      <w:tr w:rsidR="00975687" w:rsidTr="003E7A3B">
        <w:trPr>
          <w:gridAfter w:val="1"/>
          <w:wAfter w:w="74" w:type="dxa"/>
        </w:trPr>
        <w:tc>
          <w:tcPr>
            <w:tcW w:w="10915" w:type="dxa"/>
          </w:tcPr>
          <w:p w:rsidR="00511C58" w:rsidRDefault="00511C58" w:rsidP="002A2827">
            <w:r>
              <w:t>Identify and s</w:t>
            </w:r>
            <w:r w:rsidRPr="00144E20">
              <w:t>hare good practice in</w:t>
            </w:r>
            <w:r>
              <w:t xml:space="preserve"> the</w:t>
            </w:r>
            <w:r w:rsidRPr="00144E20">
              <w:t xml:space="preserve"> </w:t>
            </w:r>
            <w:r>
              <w:t>identification of learners with mental health issues and provision of support.</w:t>
            </w:r>
          </w:p>
        </w:tc>
        <w:tc>
          <w:tcPr>
            <w:tcW w:w="1701" w:type="dxa"/>
          </w:tcPr>
          <w:p w:rsidR="00511C58" w:rsidRDefault="00511C58" w:rsidP="002A2827">
            <w:r>
              <w:t>TLC</w:t>
            </w:r>
            <w:r w:rsidR="00975687">
              <w:t>/Colleges/LWBLEF/LAs</w:t>
            </w:r>
          </w:p>
        </w:tc>
        <w:tc>
          <w:tcPr>
            <w:tcW w:w="2268" w:type="dxa"/>
            <w:vMerge w:val="restart"/>
          </w:tcPr>
          <w:p w:rsidR="00511C58" w:rsidRDefault="00511C58" w:rsidP="002A2827">
            <w:r>
              <w:t>AOC</w:t>
            </w:r>
          </w:p>
        </w:tc>
      </w:tr>
      <w:tr w:rsidR="00975687" w:rsidTr="003E7A3B">
        <w:trPr>
          <w:gridAfter w:val="1"/>
          <w:wAfter w:w="74" w:type="dxa"/>
        </w:trPr>
        <w:tc>
          <w:tcPr>
            <w:tcW w:w="10915" w:type="dxa"/>
            <w:tcBorders>
              <w:top w:val="single" w:sz="4" w:space="0" w:color="auto"/>
              <w:left w:val="single" w:sz="4" w:space="0" w:color="auto"/>
              <w:bottom w:val="single" w:sz="4" w:space="0" w:color="auto"/>
              <w:right w:val="single" w:sz="4" w:space="0" w:color="auto"/>
            </w:tcBorders>
            <w:vAlign w:val="center"/>
          </w:tcPr>
          <w:p w:rsidR="00511C58" w:rsidRDefault="00511C58" w:rsidP="002A2827">
            <w:r w:rsidRPr="00916929">
              <w:t>Consider potential service improvements and efficiencies that might be achieved through greater collaboration</w:t>
            </w:r>
            <w:r>
              <w:t xml:space="preserve"> e.g. sharing specialist staff </w:t>
            </w:r>
            <w:r w:rsidRPr="00916929">
              <w:t>or jointly procuring additional specialist support.</w:t>
            </w:r>
          </w:p>
        </w:tc>
        <w:tc>
          <w:tcPr>
            <w:tcW w:w="1701" w:type="dxa"/>
            <w:tcBorders>
              <w:top w:val="single" w:sz="4" w:space="0" w:color="auto"/>
              <w:left w:val="single" w:sz="4" w:space="0" w:color="auto"/>
              <w:bottom w:val="single" w:sz="4" w:space="0" w:color="auto"/>
            </w:tcBorders>
          </w:tcPr>
          <w:p w:rsidR="00511C58" w:rsidRDefault="00975687" w:rsidP="002A2827">
            <w:r>
              <w:t>TLC/Colleges/LWBLEF/LAs</w:t>
            </w:r>
          </w:p>
        </w:tc>
        <w:tc>
          <w:tcPr>
            <w:tcW w:w="2268" w:type="dxa"/>
            <w:vMerge/>
          </w:tcPr>
          <w:p w:rsidR="00511C58" w:rsidRDefault="00511C58" w:rsidP="002A2827"/>
        </w:tc>
      </w:tr>
      <w:tr w:rsidR="00975687" w:rsidTr="003E7A3B">
        <w:trPr>
          <w:gridAfter w:val="1"/>
          <w:wAfter w:w="74" w:type="dxa"/>
        </w:trPr>
        <w:tc>
          <w:tcPr>
            <w:tcW w:w="10915" w:type="dxa"/>
            <w:tcBorders>
              <w:top w:val="single" w:sz="4" w:space="0" w:color="auto"/>
              <w:left w:val="single" w:sz="4" w:space="0" w:color="auto"/>
              <w:bottom w:val="single" w:sz="4" w:space="0" w:color="auto"/>
              <w:right w:val="single" w:sz="4" w:space="0" w:color="auto"/>
            </w:tcBorders>
            <w:vAlign w:val="center"/>
          </w:tcPr>
          <w:p w:rsidR="00511C58" w:rsidRDefault="00511C58" w:rsidP="002A2827">
            <w:r>
              <w:t>Identify common CPD needs and develop/commission programmes, on-line support, toolkits etc. pooling resources and reducing costs.</w:t>
            </w:r>
          </w:p>
        </w:tc>
        <w:tc>
          <w:tcPr>
            <w:tcW w:w="1701" w:type="dxa"/>
            <w:tcBorders>
              <w:top w:val="single" w:sz="4" w:space="0" w:color="auto"/>
              <w:left w:val="single" w:sz="4" w:space="0" w:color="auto"/>
              <w:bottom w:val="single" w:sz="4" w:space="0" w:color="auto"/>
            </w:tcBorders>
          </w:tcPr>
          <w:p w:rsidR="00511C58" w:rsidRDefault="00975687" w:rsidP="002A2827">
            <w:r>
              <w:t>TLC/LWBLEF/LAs</w:t>
            </w:r>
          </w:p>
        </w:tc>
        <w:tc>
          <w:tcPr>
            <w:tcW w:w="2268" w:type="dxa"/>
            <w:vMerge/>
            <w:tcBorders>
              <w:bottom w:val="single" w:sz="4" w:space="0" w:color="auto"/>
            </w:tcBorders>
          </w:tcPr>
          <w:p w:rsidR="00511C58" w:rsidRDefault="00511C58" w:rsidP="002A2827"/>
        </w:tc>
      </w:tr>
      <w:tr w:rsidR="002A2827" w:rsidTr="00BB6E24">
        <w:tc>
          <w:tcPr>
            <w:tcW w:w="14958" w:type="dxa"/>
            <w:gridSpan w:val="4"/>
            <w:shd w:val="clear" w:color="auto" w:fill="D9D9D9" w:themeFill="background1" w:themeFillShade="D9"/>
          </w:tcPr>
          <w:p w:rsidR="002A2827" w:rsidRPr="00BB6E24" w:rsidRDefault="002A2827" w:rsidP="002A2827">
            <w:pPr>
              <w:rPr>
                <w:b/>
              </w:rPr>
            </w:pPr>
            <w:r w:rsidRPr="00BB6E24">
              <w:rPr>
                <w:b/>
              </w:rPr>
              <w:t>Priority 4.  Children Looked After and Care Leavers</w:t>
            </w:r>
          </w:p>
        </w:tc>
      </w:tr>
      <w:tr w:rsidR="00975687" w:rsidRPr="009C3B84" w:rsidTr="003E7A3B">
        <w:trPr>
          <w:gridAfter w:val="1"/>
          <w:wAfter w:w="74" w:type="dxa"/>
        </w:trPr>
        <w:tc>
          <w:tcPr>
            <w:tcW w:w="10915" w:type="dxa"/>
          </w:tcPr>
          <w:p w:rsidR="00511C58" w:rsidRPr="009C3B84" w:rsidRDefault="00511C58" w:rsidP="002A2827">
            <w:r w:rsidRPr="009C3B84">
              <w:t>Continue to work with the LAs to ensure that all Children Looked After and Care Leavers</w:t>
            </w:r>
            <w:r>
              <w:t xml:space="preserve"> receive an appropriate offer of learning and progress onto a suitable and sustained learning programme or employment.</w:t>
            </w:r>
          </w:p>
        </w:tc>
        <w:tc>
          <w:tcPr>
            <w:tcW w:w="1701" w:type="dxa"/>
          </w:tcPr>
          <w:p w:rsidR="00511C58" w:rsidRPr="009C3B84" w:rsidRDefault="00975687" w:rsidP="002A2827">
            <w:r>
              <w:t>Colleges/Providers</w:t>
            </w:r>
          </w:p>
        </w:tc>
        <w:tc>
          <w:tcPr>
            <w:tcW w:w="2268" w:type="dxa"/>
          </w:tcPr>
          <w:p w:rsidR="00511C58" w:rsidRPr="009C3B84" w:rsidRDefault="00511C58" w:rsidP="002A2827">
            <w:r>
              <w:t>LAs</w:t>
            </w:r>
          </w:p>
        </w:tc>
      </w:tr>
    </w:tbl>
    <w:p w:rsidR="00BB2830" w:rsidRDefault="00BB2830" w:rsidP="0047210E"/>
    <w:p w:rsidR="00DC0F87" w:rsidRDefault="00DC0F87">
      <w:pPr>
        <w:rPr>
          <w:rFonts w:eastAsia="Arial"/>
          <w:b/>
          <w:color w:val="104F75"/>
        </w:rPr>
      </w:pPr>
      <w:r>
        <w:rPr>
          <w:rFonts w:eastAsia="Arial"/>
          <w:b/>
          <w:color w:val="104F75"/>
        </w:rPr>
        <w:br w:type="page"/>
      </w:r>
    </w:p>
    <w:p w:rsidR="00DC0F87" w:rsidRPr="00DC0F87" w:rsidRDefault="00DC0F87" w:rsidP="00DC0F87">
      <w:pPr>
        <w:rPr>
          <w:rFonts w:ascii="Arial Narrow" w:eastAsia="Arial" w:hAnsi="Arial Narrow"/>
          <w:b/>
          <w:color w:val="5B9BD5" w:themeColor="accent1"/>
          <w:sz w:val="40"/>
          <w:szCs w:val="40"/>
        </w:rPr>
      </w:pPr>
      <w:r w:rsidRPr="00DC0F87">
        <w:rPr>
          <w:rFonts w:ascii="Arial Narrow" w:eastAsia="Arial" w:hAnsi="Arial Narrow"/>
          <w:b/>
          <w:color w:val="5B9BD5" w:themeColor="accent1"/>
          <w:sz w:val="40"/>
          <w:szCs w:val="40"/>
        </w:rPr>
        <w:lastRenderedPageBreak/>
        <w:t xml:space="preserve">C: </w:t>
      </w:r>
      <w:r w:rsidRPr="00DC0F87">
        <w:rPr>
          <w:rFonts w:ascii="Arial Narrow" w:eastAsia="Arial" w:hAnsi="Arial Narrow"/>
          <w:b/>
          <w:color w:val="5B9BD5" w:themeColor="accent1"/>
          <w:sz w:val="40"/>
          <w:szCs w:val="40"/>
        </w:rPr>
        <w:tab/>
      </w:r>
      <w:r>
        <w:rPr>
          <w:rFonts w:ascii="Arial Narrow" w:eastAsia="Arial" w:hAnsi="Arial Narrow"/>
          <w:b/>
          <w:color w:val="5B9BD5" w:themeColor="accent1"/>
          <w:sz w:val="40"/>
          <w:szCs w:val="40"/>
        </w:rPr>
        <w:t>Schools with S</w:t>
      </w:r>
      <w:r w:rsidRPr="00DC0F87">
        <w:rPr>
          <w:rFonts w:ascii="Arial Narrow" w:eastAsia="Arial" w:hAnsi="Arial Narrow"/>
          <w:b/>
          <w:color w:val="5B9BD5" w:themeColor="accent1"/>
          <w:sz w:val="40"/>
          <w:szCs w:val="40"/>
        </w:rPr>
        <w:t>ixth forms</w:t>
      </w:r>
    </w:p>
    <w:p w:rsidR="00DC0F87" w:rsidRPr="00CF6722" w:rsidRDefault="00DC0F87" w:rsidP="00DC0F87">
      <w:r w:rsidRPr="00CF6722">
        <w:rPr>
          <w:rFonts w:cs="Arial"/>
        </w:rPr>
        <w:t>Local authorities to appraise how schools with sixth forms can better support economic and educational priorities and to take account of the outcomes of the area review in decisions about provision.  This work will complement the wider school system agenda.  </w:t>
      </w:r>
    </w:p>
    <w:tbl>
      <w:tblPr>
        <w:tblStyle w:val="TableGrid"/>
        <w:tblW w:w="14884" w:type="dxa"/>
        <w:tblInd w:w="-572" w:type="dxa"/>
        <w:tblLook w:val="04A0" w:firstRow="1" w:lastRow="0" w:firstColumn="1" w:lastColumn="0" w:noHBand="0" w:noVBand="1"/>
      </w:tblPr>
      <w:tblGrid>
        <w:gridCol w:w="12474"/>
        <w:gridCol w:w="2410"/>
      </w:tblGrid>
      <w:tr w:rsidR="00DC0F87" w:rsidTr="00DC0F87">
        <w:tc>
          <w:tcPr>
            <w:tcW w:w="12474" w:type="dxa"/>
            <w:shd w:val="clear" w:color="auto" w:fill="D9D9D9" w:themeFill="background1" w:themeFillShade="D9"/>
          </w:tcPr>
          <w:p w:rsidR="00DC0F87" w:rsidRDefault="00DC0F87" w:rsidP="0047210E">
            <w:r>
              <w:t xml:space="preserve">Priority 1: </w:t>
            </w:r>
            <w:r>
              <w:tab/>
            </w:r>
          </w:p>
          <w:p w:rsidR="00DC0F87" w:rsidRDefault="00DC0F87" w:rsidP="0047210E">
            <w:r w:rsidRPr="00DC0F87">
              <w:t>The RSC and the three local authorities will take account of the area review evidence and findings in future decisions about current and planned school provision.</w:t>
            </w:r>
          </w:p>
        </w:tc>
        <w:tc>
          <w:tcPr>
            <w:tcW w:w="2410" w:type="dxa"/>
            <w:shd w:val="clear" w:color="auto" w:fill="D9D9D9" w:themeFill="background1" w:themeFillShade="D9"/>
          </w:tcPr>
          <w:p w:rsidR="00DC0F87" w:rsidRDefault="00DC0F87" w:rsidP="0047210E"/>
        </w:tc>
      </w:tr>
      <w:tr w:rsidR="00DC0F87" w:rsidTr="00DC0F87">
        <w:tc>
          <w:tcPr>
            <w:tcW w:w="12474" w:type="dxa"/>
          </w:tcPr>
          <w:p w:rsidR="00DC0F87" w:rsidRDefault="004161F9" w:rsidP="0047210E">
            <w:pPr>
              <w:rPr>
                <w:color w:val="FF0000"/>
              </w:rPr>
            </w:pPr>
            <w:r>
              <w:t>Actioned</w:t>
            </w:r>
            <w:r w:rsidR="00EF7686">
              <w:rPr>
                <w:color w:val="FF0000"/>
              </w:rPr>
              <w:t xml:space="preserve">  </w:t>
            </w:r>
          </w:p>
          <w:p w:rsidR="00EF7686" w:rsidRPr="003F09FF" w:rsidRDefault="00F437EB" w:rsidP="00EF7686">
            <w:pPr>
              <w:rPr>
                <w:color w:val="FF0000"/>
              </w:rPr>
            </w:pPr>
            <w:r w:rsidRPr="003F09FF">
              <w:t xml:space="preserve">The RSC and </w:t>
            </w:r>
            <w:r w:rsidR="00EF7686" w:rsidRPr="003F09FF">
              <w:t>LA (Blackpool, Blackburn with Darwen and Lancashire CC) Executive Management Team</w:t>
            </w:r>
            <w:r w:rsidRPr="003F09FF">
              <w:t>s</w:t>
            </w:r>
            <w:r w:rsidR="00EF7686" w:rsidRPr="003F09FF">
              <w:t xml:space="preserve"> have all been briefed on outcomes of ABR as with relevant school planning teams and will take account of findings in future decision making on current and planned school provision.</w:t>
            </w:r>
          </w:p>
        </w:tc>
        <w:tc>
          <w:tcPr>
            <w:tcW w:w="2410" w:type="dxa"/>
          </w:tcPr>
          <w:p w:rsidR="00DC0F87" w:rsidRDefault="00DC0F87" w:rsidP="0047210E">
            <w:r>
              <w:t>L</w:t>
            </w:r>
            <w:r w:rsidR="004161F9">
              <w:t>A</w:t>
            </w:r>
            <w:r>
              <w:t>s</w:t>
            </w:r>
            <w:r w:rsidR="004161F9">
              <w:t>/RSC</w:t>
            </w:r>
          </w:p>
        </w:tc>
      </w:tr>
      <w:tr w:rsidR="00DC0F87" w:rsidTr="00DC0F87">
        <w:tc>
          <w:tcPr>
            <w:tcW w:w="12474" w:type="dxa"/>
            <w:shd w:val="clear" w:color="auto" w:fill="D9D9D9" w:themeFill="background1" w:themeFillShade="D9"/>
          </w:tcPr>
          <w:p w:rsidR="00DC0F87" w:rsidRDefault="00DC0F87" w:rsidP="0047210E">
            <w:r>
              <w:t>Priority 2:</w:t>
            </w:r>
          </w:p>
          <w:p w:rsidR="00DC0F87" w:rsidRDefault="00DC0F87" w:rsidP="0047210E">
            <w:r w:rsidRPr="00DC0F87">
              <w:t>Over the 2017 cycle of meetings of the School Sixth Form Heads' Network, the local authorities will consider how schools with sixth forms can better support and engage with economic and educational priorities, sharing findings with the RSC and feeding into the implementation group.</w:t>
            </w:r>
          </w:p>
        </w:tc>
        <w:tc>
          <w:tcPr>
            <w:tcW w:w="2410" w:type="dxa"/>
            <w:shd w:val="clear" w:color="auto" w:fill="D9D9D9" w:themeFill="background1" w:themeFillShade="D9"/>
          </w:tcPr>
          <w:p w:rsidR="00DC0F87" w:rsidRDefault="00DC0F87" w:rsidP="0047210E"/>
        </w:tc>
      </w:tr>
      <w:tr w:rsidR="00DC0F87" w:rsidTr="00DC0F87">
        <w:tc>
          <w:tcPr>
            <w:tcW w:w="12474" w:type="dxa"/>
          </w:tcPr>
          <w:p w:rsidR="00DC0F87" w:rsidRDefault="004161F9" w:rsidP="00D8469F">
            <w:proofErr w:type="spellStart"/>
            <w:r>
              <w:t>SSfs</w:t>
            </w:r>
            <w:proofErr w:type="spellEnd"/>
            <w:r>
              <w:t xml:space="preserve"> to consider educational priorities set against their strategic vision and organisational and curriculum design</w:t>
            </w:r>
          </w:p>
        </w:tc>
        <w:tc>
          <w:tcPr>
            <w:tcW w:w="2410" w:type="dxa"/>
          </w:tcPr>
          <w:p w:rsidR="00DC0F87" w:rsidRDefault="00DC0F87" w:rsidP="0047210E">
            <w:r>
              <w:t>LAs</w:t>
            </w:r>
          </w:p>
        </w:tc>
      </w:tr>
      <w:tr w:rsidR="004161F9" w:rsidTr="00DC0F87">
        <w:tc>
          <w:tcPr>
            <w:tcW w:w="12474" w:type="dxa"/>
          </w:tcPr>
          <w:p w:rsidR="004161F9" w:rsidRDefault="00D8469F" w:rsidP="00D8469F">
            <w:proofErr w:type="spellStart"/>
            <w:r w:rsidRPr="00D8469F">
              <w:t>SSfs</w:t>
            </w:r>
            <w:proofErr w:type="spellEnd"/>
            <w:r w:rsidRPr="00D8469F">
              <w:t xml:space="preserve"> to consider economic priorities set against their strategic vision and organisational and curriculum design</w:t>
            </w:r>
          </w:p>
        </w:tc>
        <w:tc>
          <w:tcPr>
            <w:tcW w:w="2410" w:type="dxa"/>
          </w:tcPr>
          <w:p w:rsidR="004161F9" w:rsidRDefault="00D8469F" w:rsidP="0047210E">
            <w:r>
              <w:t>LAs</w:t>
            </w:r>
          </w:p>
        </w:tc>
      </w:tr>
      <w:tr w:rsidR="004161F9" w:rsidTr="00DC0F87">
        <w:tc>
          <w:tcPr>
            <w:tcW w:w="12474" w:type="dxa"/>
          </w:tcPr>
          <w:p w:rsidR="004161F9" w:rsidRDefault="00D8469F" w:rsidP="004161F9">
            <w:r>
              <w:t>LAs to share findings with RSC and Implementation Group.</w:t>
            </w:r>
          </w:p>
        </w:tc>
        <w:tc>
          <w:tcPr>
            <w:tcW w:w="2410" w:type="dxa"/>
          </w:tcPr>
          <w:p w:rsidR="004161F9" w:rsidRDefault="00D8469F" w:rsidP="0047210E">
            <w:r>
              <w:t>LAs</w:t>
            </w:r>
          </w:p>
        </w:tc>
      </w:tr>
    </w:tbl>
    <w:p w:rsidR="007A6B67" w:rsidRDefault="007A6B67" w:rsidP="0047210E"/>
    <w:sectPr w:rsidR="007A6B67" w:rsidSect="001930FE">
      <w:headerReference w:type="default" r:id="rId8"/>
      <w:footerReference w:type="default" r:id="rId9"/>
      <w:headerReference w:type="first" r:id="rId10"/>
      <w:pgSz w:w="16838" w:h="11906" w:orient="landscape"/>
      <w:pgMar w:top="851"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DCF" w:rsidRDefault="005E4DCF" w:rsidP="007E3340">
      <w:pPr>
        <w:spacing w:after="0" w:line="240" w:lineRule="auto"/>
      </w:pPr>
      <w:r>
        <w:separator/>
      </w:r>
    </w:p>
  </w:endnote>
  <w:endnote w:type="continuationSeparator" w:id="0">
    <w:p w:rsidR="005E4DCF" w:rsidRDefault="005E4DCF" w:rsidP="007E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34" w:rsidRPr="007E3340" w:rsidRDefault="00A57834">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C:\Users\asethi001\AppData\Local\Microsoft\Windows\Temporary Internet Files\Content.Outlook\MPSJCVOO\DRAFT AR non-structural options devt plan 200617.docx</w:t>
    </w:r>
    <w:r>
      <w:rPr>
        <w:sz w:val="16"/>
        <w:szCs w:val="16"/>
      </w:rPr>
      <w:fldChar w:fldCharType="end"/>
    </w:r>
  </w:p>
  <w:p w:rsidR="00A57834" w:rsidRDefault="00A57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DCF" w:rsidRDefault="005E4DCF" w:rsidP="007E3340">
      <w:pPr>
        <w:spacing w:after="0" w:line="240" w:lineRule="auto"/>
      </w:pPr>
      <w:r>
        <w:separator/>
      </w:r>
    </w:p>
  </w:footnote>
  <w:footnote w:type="continuationSeparator" w:id="0">
    <w:p w:rsidR="005E4DCF" w:rsidRDefault="005E4DCF" w:rsidP="007E3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34" w:rsidRPr="001930FE" w:rsidRDefault="001930FE">
    <w:pPr>
      <w:pStyle w:val="Header"/>
      <w:rPr>
        <w:b/>
      </w:rPr>
    </w:pPr>
    <w:sdt>
      <w:sdtPr>
        <w:rPr>
          <w:b/>
        </w:rPr>
        <w:id w:val="1129666226"/>
        <w:docPartObj>
          <w:docPartGallery w:val="Watermarks"/>
          <w:docPartUnique/>
        </w:docPartObj>
      </w:sdtPr>
      <w:sdtEndPr/>
      <w:sdtContent>
        <w:r w:rsidRPr="001930FE">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FE" w:rsidRPr="001930FE" w:rsidRDefault="001930FE" w:rsidP="001930FE">
    <w:pPr>
      <w:pStyle w:val="Header"/>
      <w:jc w:val="right"/>
      <w:rPr>
        <w:rFonts w:ascii="Arial" w:hAnsi="Arial" w:cs="Arial"/>
        <w:b/>
        <w:sz w:val="28"/>
        <w:szCs w:val="28"/>
      </w:rPr>
    </w:pPr>
    <w:r w:rsidRPr="001930FE">
      <w:rPr>
        <w:rFonts w:ascii="Arial" w:hAnsi="Arial" w:cs="Arial"/>
        <w:b/>
        <w:sz w:val="28"/>
        <w:szCs w:val="28"/>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71964"/>
    <w:multiLevelType w:val="hybridMultilevel"/>
    <w:tmpl w:val="A566BFF2"/>
    <w:lvl w:ilvl="0" w:tplc="1AB01C02">
      <w:start w:val="1"/>
      <w:numFmt w:val="bullet"/>
      <w:lvlText w:val="•"/>
      <w:lvlJc w:val="left"/>
      <w:pPr>
        <w:tabs>
          <w:tab w:val="num" w:pos="720"/>
        </w:tabs>
        <w:ind w:left="720" w:hanging="360"/>
      </w:pPr>
      <w:rPr>
        <w:rFonts w:ascii="Arial" w:hAnsi="Arial" w:hint="default"/>
      </w:rPr>
    </w:lvl>
    <w:lvl w:ilvl="1" w:tplc="F45E78C2" w:tentative="1">
      <w:start w:val="1"/>
      <w:numFmt w:val="bullet"/>
      <w:lvlText w:val="•"/>
      <w:lvlJc w:val="left"/>
      <w:pPr>
        <w:tabs>
          <w:tab w:val="num" w:pos="1440"/>
        </w:tabs>
        <w:ind w:left="1440" w:hanging="360"/>
      </w:pPr>
      <w:rPr>
        <w:rFonts w:ascii="Arial" w:hAnsi="Arial" w:hint="default"/>
      </w:rPr>
    </w:lvl>
    <w:lvl w:ilvl="2" w:tplc="2A0C7F7E" w:tentative="1">
      <w:start w:val="1"/>
      <w:numFmt w:val="bullet"/>
      <w:lvlText w:val="•"/>
      <w:lvlJc w:val="left"/>
      <w:pPr>
        <w:tabs>
          <w:tab w:val="num" w:pos="2160"/>
        </w:tabs>
        <w:ind w:left="2160" w:hanging="360"/>
      </w:pPr>
      <w:rPr>
        <w:rFonts w:ascii="Arial" w:hAnsi="Arial" w:hint="default"/>
      </w:rPr>
    </w:lvl>
    <w:lvl w:ilvl="3" w:tplc="89806AB2" w:tentative="1">
      <w:start w:val="1"/>
      <w:numFmt w:val="bullet"/>
      <w:lvlText w:val="•"/>
      <w:lvlJc w:val="left"/>
      <w:pPr>
        <w:tabs>
          <w:tab w:val="num" w:pos="2880"/>
        </w:tabs>
        <w:ind w:left="2880" w:hanging="360"/>
      </w:pPr>
      <w:rPr>
        <w:rFonts w:ascii="Arial" w:hAnsi="Arial" w:hint="default"/>
      </w:rPr>
    </w:lvl>
    <w:lvl w:ilvl="4" w:tplc="89B69A7E" w:tentative="1">
      <w:start w:val="1"/>
      <w:numFmt w:val="bullet"/>
      <w:lvlText w:val="•"/>
      <w:lvlJc w:val="left"/>
      <w:pPr>
        <w:tabs>
          <w:tab w:val="num" w:pos="3600"/>
        </w:tabs>
        <w:ind w:left="3600" w:hanging="360"/>
      </w:pPr>
      <w:rPr>
        <w:rFonts w:ascii="Arial" w:hAnsi="Arial" w:hint="default"/>
      </w:rPr>
    </w:lvl>
    <w:lvl w:ilvl="5" w:tplc="4CD2ACD6" w:tentative="1">
      <w:start w:val="1"/>
      <w:numFmt w:val="bullet"/>
      <w:lvlText w:val="•"/>
      <w:lvlJc w:val="left"/>
      <w:pPr>
        <w:tabs>
          <w:tab w:val="num" w:pos="4320"/>
        </w:tabs>
        <w:ind w:left="4320" w:hanging="360"/>
      </w:pPr>
      <w:rPr>
        <w:rFonts w:ascii="Arial" w:hAnsi="Arial" w:hint="default"/>
      </w:rPr>
    </w:lvl>
    <w:lvl w:ilvl="6" w:tplc="3E28DEA2" w:tentative="1">
      <w:start w:val="1"/>
      <w:numFmt w:val="bullet"/>
      <w:lvlText w:val="•"/>
      <w:lvlJc w:val="left"/>
      <w:pPr>
        <w:tabs>
          <w:tab w:val="num" w:pos="5040"/>
        </w:tabs>
        <w:ind w:left="5040" w:hanging="360"/>
      </w:pPr>
      <w:rPr>
        <w:rFonts w:ascii="Arial" w:hAnsi="Arial" w:hint="default"/>
      </w:rPr>
    </w:lvl>
    <w:lvl w:ilvl="7" w:tplc="9F40E14E" w:tentative="1">
      <w:start w:val="1"/>
      <w:numFmt w:val="bullet"/>
      <w:lvlText w:val="•"/>
      <w:lvlJc w:val="left"/>
      <w:pPr>
        <w:tabs>
          <w:tab w:val="num" w:pos="5760"/>
        </w:tabs>
        <w:ind w:left="5760" w:hanging="360"/>
      </w:pPr>
      <w:rPr>
        <w:rFonts w:ascii="Arial" w:hAnsi="Arial" w:hint="default"/>
      </w:rPr>
    </w:lvl>
    <w:lvl w:ilvl="8" w:tplc="ECD08C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83B94"/>
    <w:multiLevelType w:val="hybridMultilevel"/>
    <w:tmpl w:val="7EBEB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369A4"/>
    <w:multiLevelType w:val="hybridMultilevel"/>
    <w:tmpl w:val="B5B46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3A7A29"/>
    <w:multiLevelType w:val="hybridMultilevel"/>
    <w:tmpl w:val="7382DFDC"/>
    <w:lvl w:ilvl="0" w:tplc="77487FB8">
      <w:start w:val="1"/>
      <w:numFmt w:val="bullet"/>
      <w:lvlText w:val="•"/>
      <w:lvlJc w:val="left"/>
      <w:pPr>
        <w:tabs>
          <w:tab w:val="num" w:pos="720"/>
        </w:tabs>
        <w:ind w:left="720" w:hanging="360"/>
      </w:pPr>
      <w:rPr>
        <w:rFonts w:ascii="Arial" w:hAnsi="Arial" w:hint="default"/>
      </w:rPr>
    </w:lvl>
    <w:lvl w:ilvl="1" w:tplc="17D21AF4" w:tentative="1">
      <w:start w:val="1"/>
      <w:numFmt w:val="bullet"/>
      <w:lvlText w:val="•"/>
      <w:lvlJc w:val="left"/>
      <w:pPr>
        <w:tabs>
          <w:tab w:val="num" w:pos="1440"/>
        </w:tabs>
        <w:ind w:left="1440" w:hanging="360"/>
      </w:pPr>
      <w:rPr>
        <w:rFonts w:ascii="Arial" w:hAnsi="Arial" w:hint="default"/>
      </w:rPr>
    </w:lvl>
    <w:lvl w:ilvl="2" w:tplc="447CAA32" w:tentative="1">
      <w:start w:val="1"/>
      <w:numFmt w:val="bullet"/>
      <w:lvlText w:val="•"/>
      <w:lvlJc w:val="left"/>
      <w:pPr>
        <w:tabs>
          <w:tab w:val="num" w:pos="2160"/>
        </w:tabs>
        <w:ind w:left="2160" w:hanging="360"/>
      </w:pPr>
      <w:rPr>
        <w:rFonts w:ascii="Arial" w:hAnsi="Arial" w:hint="default"/>
      </w:rPr>
    </w:lvl>
    <w:lvl w:ilvl="3" w:tplc="DDB615E4" w:tentative="1">
      <w:start w:val="1"/>
      <w:numFmt w:val="bullet"/>
      <w:lvlText w:val="•"/>
      <w:lvlJc w:val="left"/>
      <w:pPr>
        <w:tabs>
          <w:tab w:val="num" w:pos="2880"/>
        </w:tabs>
        <w:ind w:left="2880" w:hanging="360"/>
      </w:pPr>
      <w:rPr>
        <w:rFonts w:ascii="Arial" w:hAnsi="Arial" w:hint="default"/>
      </w:rPr>
    </w:lvl>
    <w:lvl w:ilvl="4" w:tplc="29C02144" w:tentative="1">
      <w:start w:val="1"/>
      <w:numFmt w:val="bullet"/>
      <w:lvlText w:val="•"/>
      <w:lvlJc w:val="left"/>
      <w:pPr>
        <w:tabs>
          <w:tab w:val="num" w:pos="3600"/>
        </w:tabs>
        <w:ind w:left="3600" w:hanging="360"/>
      </w:pPr>
      <w:rPr>
        <w:rFonts w:ascii="Arial" w:hAnsi="Arial" w:hint="default"/>
      </w:rPr>
    </w:lvl>
    <w:lvl w:ilvl="5" w:tplc="B1B85B46" w:tentative="1">
      <w:start w:val="1"/>
      <w:numFmt w:val="bullet"/>
      <w:lvlText w:val="•"/>
      <w:lvlJc w:val="left"/>
      <w:pPr>
        <w:tabs>
          <w:tab w:val="num" w:pos="4320"/>
        </w:tabs>
        <w:ind w:left="4320" w:hanging="360"/>
      </w:pPr>
      <w:rPr>
        <w:rFonts w:ascii="Arial" w:hAnsi="Arial" w:hint="default"/>
      </w:rPr>
    </w:lvl>
    <w:lvl w:ilvl="6" w:tplc="F860276E" w:tentative="1">
      <w:start w:val="1"/>
      <w:numFmt w:val="bullet"/>
      <w:lvlText w:val="•"/>
      <w:lvlJc w:val="left"/>
      <w:pPr>
        <w:tabs>
          <w:tab w:val="num" w:pos="5040"/>
        </w:tabs>
        <w:ind w:left="5040" w:hanging="360"/>
      </w:pPr>
      <w:rPr>
        <w:rFonts w:ascii="Arial" w:hAnsi="Arial" w:hint="default"/>
      </w:rPr>
    </w:lvl>
    <w:lvl w:ilvl="7" w:tplc="34668824" w:tentative="1">
      <w:start w:val="1"/>
      <w:numFmt w:val="bullet"/>
      <w:lvlText w:val="•"/>
      <w:lvlJc w:val="left"/>
      <w:pPr>
        <w:tabs>
          <w:tab w:val="num" w:pos="5760"/>
        </w:tabs>
        <w:ind w:left="5760" w:hanging="360"/>
      </w:pPr>
      <w:rPr>
        <w:rFonts w:ascii="Arial" w:hAnsi="Arial" w:hint="default"/>
      </w:rPr>
    </w:lvl>
    <w:lvl w:ilvl="8" w:tplc="6CFC5BB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0E1C25"/>
    <w:multiLevelType w:val="hybridMultilevel"/>
    <w:tmpl w:val="2A544938"/>
    <w:lvl w:ilvl="0" w:tplc="687CB400">
      <w:start w:val="1"/>
      <w:numFmt w:val="bullet"/>
      <w:pStyle w:val="ListBullet5"/>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658BD"/>
    <w:multiLevelType w:val="hybridMultilevel"/>
    <w:tmpl w:val="B1F6AB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585566"/>
    <w:multiLevelType w:val="hybridMultilevel"/>
    <w:tmpl w:val="E2B6F49E"/>
    <w:lvl w:ilvl="0" w:tplc="E0D04A02">
      <w:start w:val="1"/>
      <w:numFmt w:val="bullet"/>
      <w:lvlText w:val="•"/>
      <w:lvlJc w:val="left"/>
      <w:pPr>
        <w:tabs>
          <w:tab w:val="num" w:pos="720"/>
        </w:tabs>
        <w:ind w:left="720" w:hanging="360"/>
      </w:pPr>
      <w:rPr>
        <w:rFonts w:ascii="Arial" w:hAnsi="Arial" w:hint="default"/>
      </w:rPr>
    </w:lvl>
    <w:lvl w:ilvl="1" w:tplc="88B2833A" w:tentative="1">
      <w:start w:val="1"/>
      <w:numFmt w:val="bullet"/>
      <w:lvlText w:val="•"/>
      <w:lvlJc w:val="left"/>
      <w:pPr>
        <w:tabs>
          <w:tab w:val="num" w:pos="1440"/>
        </w:tabs>
        <w:ind w:left="1440" w:hanging="360"/>
      </w:pPr>
      <w:rPr>
        <w:rFonts w:ascii="Arial" w:hAnsi="Arial" w:hint="default"/>
      </w:rPr>
    </w:lvl>
    <w:lvl w:ilvl="2" w:tplc="BB66E84E" w:tentative="1">
      <w:start w:val="1"/>
      <w:numFmt w:val="bullet"/>
      <w:lvlText w:val="•"/>
      <w:lvlJc w:val="left"/>
      <w:pPr>
        <w:tabs>
          <w:tab w:val="num" w:pos="2160"/>
        </w:tabs>
        <w:ind w:left="2160" w:hanging="360"/>
      </w:pPr>
      <w:rPr>
        <w:rFonts w:ascii="Arial" w:hAnsi="Arial" w:hint="default"/>
      </w:rPr>
    </w:lvl>
    <w:lvl w:ilvl="3" w:tplc="A0B83424" w:tentative="1">
      <w:start w:val="1"/>
      <w:numFmt w:val="bullet"/>
      <w:lvlText w:val="•"/>
      <w:lvlJc w:val="left"/>
      <w:pPr>
        <w:tabs>
          <w:tab w:val="num" w:pos="2880"/>
        </w:tabs>
        <w:ind w:left="2880" w:hanging="360"/>
      </w:pPr>
      <w:rPr>
        <w:rFonts w:ascii="Arial" w:hAnsi="Arial" w:hint="default"/>
      </w:rPr>
    </w:lvl>
    <w:lvl w:ilvl="4" w:tplc="D0A61F40" w:tentative="1">
      <w:start w:val="1"/>
      <w:numFmt w:val="bullet"/>
      <w:lvlText w:val="•"/>
      <w:lvlJc w:val="left"/>
      <w:pPr>
        <w:tabs>
          <w:tab w:val="num" w:pos="3600"/>
        </w:tabs>
        <w:ind w:left="3600" w:hanging="360"/>
      </w:pPr>
      <w:rPr>
        <w:rFonts w:ascii="Arial" w:hAnsi="Arial" w:hint="default"/>
      </w:rPr>
    </w:lvl>
    <w:lvl w:ilvl="5" w:tplc="2A7406BE" w:tentative="1">
      <w:start w:val="1"/>
      <w:numFmt w:val="bullet"/>
      <w:lvlText w:val="•"/>
      <w:lvlJc w:val="left"/>
      <w:pPr>
        <w:tabs>
          <w:tab w:val="num" w:pos="4320"/>
        </w:tabs>
        <w:ind w:left="4320" w:hanging="360"/>
      </w:pPr>
      <w:rPr>
        <w:rFonts w:ascii="Arial" w:hAnsi="Arial" w:hint="default"/>
      </w:rPr>
    </w:lvl>
    <w:lvl w:ilvl="6" w:tplc="24F65F48" w:tentative="1">
      <w:start w:val="1"/>
      <w:numFmt w:val="bullet"/>
      <w:lvlText w:val="•"/>
      <w:lvlJc w:val="left"/>
      <w:pPr>
        <w:tabs>
          <w:tab w:val="num" w:pos="5040"/>
        </w:tabs>
        <w:ind w:left="5040" w:hanging="360"/>
      </w:pPr>
      <w:rPr>
        <w:rFonts w:ascii="Arial" w:hAnsi="Arial" w:hint="default"/>
      </w:rPr>
    </w:lvl>
    <w:lvl w:ilvl="7" w:tplc="A630075C" w:tentative="1">
      <w:start w:val="1"/>
      <w:numFmt w:val="bullet"/>
      <w:lvlText w:val="•"/>
      <w:lvlJc w:val="left"/>
      <w:pPr>
        <w:tabs>
          <w:tab w:val="num" w:pos="5760"/>
        </w:tabs>
        <w:ind w:left="5760" w:hanging="360"/>
      </w:pPr>
      <w:rPr>
        <w:rFonts w:ascii="Arial" w:hAnsi="Arial" w:hint="default"/>
      </w:rPr>
    </w:lvl>
    <w:lvl w:ilvl="8" w:tplc="9B9083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BA3A2C"/>
    <w:multiLevelType w:val="hybridMultilevel"/>
    <w:tmpl w:val="40649B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5FC564FB"/>
    <w:multiLevelType w:val="hybridMultilevel"/>
    <w:tmpl w:val="94FC1C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6E172E"/>
    <w:multiLevelType w:val="hybridMultilevel"/>
    <w:tmpl w:val="8A42989C"/>
    <w:lvl w:ilvl="0" w:tplc="4620B9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D0802"/>
    <w:multiLevelType w:val="hybridMultilevel"/>
    <w:tmpl w:val="E9D8A33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73F13F89"/>
    <w:multiLevelType w:val="hybridMultilevel"/>
    <w:tmpl w:val="70FAA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716A48"/>
    <w:multiLevelType w:val="hybridMultilevel"/>
    <w:tmpl w:val="58BC8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FD59DD"/>
    <w:multiLevelType w:val="hybridMultilevel"/>
    <w:tmpl w:val="552E1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3"/>
  </w:num>
  <w:num w:numId="6">
    <w:abstractNumId w:val="2"/>
  </w:num>
  <w:num w:numId="7">
    <w:abstractNumId w:val="12"/>
  </w:num>
  <w:num w:numId="8">
    <w:abstractNumId w:val="3"/>
  </w:num>
  <w:num w:numId="9">
    <w:abstractNumId w:val="10"/>
  </w:num>
  <w:num w:numId="10">
    <w:abstractNumId w:val="1"/>
  </w:num>
  <w:num w:numId="11">
    <w:abstractNumId w:val="5"/>
  </w:num>
  <w:num w:numId="12">
    <w:abstractNumId w:val="11"/>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31"/>
    <w:rsid w:val="00010FFA"/>
    <w:rsid w:val="00023E87"/>
    <w:rsid w:val="000470FD"/>
    <w:rsid w:val="00056F03"/>
    <w:rsid w:val="000655A4"/>
    <w:rsid w:val="000931D9"/>
    <w:rsid w:val="00093F30"/>
    <w:rsid w:val="000C6633"/>
    <w:rsid w:val="000E1A6B"/>
    <w:rsid w:val="000E56FC"/>
    <w:rsid w:val="000E5968"/>
    <w:rsid w:val="001249FC"/>
    <w:rsid w:val="001309C7"/>
    <w:rsid w:val="00144E20"/>
    <w:rsid w:val="00151A5B"/>
    <w:rsid w:val="0017257E"/>
    <w:rsid w:val="001930FE"/>
    <w:rsid w:val="001A396B"/>
    <w:rsid w:val="001D6A93"/>
    <w:rsid w:val="001E1640"/>
    <w:rsid w:val="001E5723"/>
    <w:rsid w:val="002039B5"/>
    <w:rsid w:val="00210357"/>
    <w:rsid w:val="0022216E"/>
    <w:rsid w:val="00231B0B"/>
    <w:rsid w:val="00285356"/>
    <w:rsid w:val="002A2827"/>
    <w:rsid w:val="002A6AB0"/>
    <w:rsid w:val="002E537A"/>
    <w:rsid w:val="003140BD"/>
    <w:rsid w:val="0031629B"/>
    <w:rsid w:val="003428ED"/>
    <w:rsid w:val="00351F5D"/>
    <w:rsid w:val="0036550D"/>
    <w:rsid w:val="003B14A4"/>
    <w:rsid w:val="003E49FF"/>
    <w:rsid w:val="003E7A3B"/>
    <w:rsid w:val="003F09FF"/>
    <w:rsid w:val="003F1E05"/>
    <w:rsid w:val="004044D6"/>
    <w:rsid w:val="004161F9"/>
    <w:rsid w:val="004302FF"/>
    <w:rsid w:val="0044624F"/>
    <w:rsid w:val="00456A3E"/>
    <w:rsid w:val="00461D8A"/>
    <w:rsid w:val="004677E9"/>
    <w:rsid w:val="00467B95"/>
    <w:rsid w:val="0047210E"/>
    <w:rsid w:val="004A0048"/>
    <w:rsid w:val="004B2C35"/>
    <w:rsid w:val="00507A80"/>
    <w:rsid w:val="00511C58"/>
    <w:rsid w:val="00536AB6"/>
    <w:rsid w:val="00561B7E"/>
    <w:rsid w:val="0057256D"/>
    <w:rsid w:val="00581D4B"/>
    <w:rsid w:val="00586A86"/>
    <w:rsid w:val="005B2122"/>
    <w:rsid w:val="005C26C3"/>
    <w:rsid w:val="005C693D"/>
    <w:rsid w:val="005D4835"/>
    <w:rsid w:val="005E4DCF"/>
    <w:rsid w:val="005F0395"/>
    <w:rsid w:val="0063753A"/>
    <w:rsid w:val="006451E9"/>
    <w:rsid w:val="006A0C48"/>
    <w:rsid w:val="006C637A"/>
    <w:rsid w:val="006D67F3"/>
    <w:rsid w:val="00706931"/>
    <w:rsid w:val="007379A6"/>
    <w:rsid w:val="00747131"/>
    <w:rsid w:val="0076403C"/>
    <w:rsid w:val="007A6B67"/>
    <w:rsid w:val="007B527F"/>
    <w:rsid w:val="007C0102"/>
    <w:rsid w:val="007C0749"/>
    <w:rsid w:val="007C25C5"/>
    <w:rsid w:val="007D2371"/>
    <w:rsid w:val="007E3340"/>
    <w:rsid w:val="007F663C"/>
    <w:rsid w:val="00827FBD"/>
    <w:rsid w:val="00857E2D"/>
    <w:rsid w:val="00872CEA"/>
    <w:rsid w:val="008B6935"/>
    <w:rsid w:val="008F2837"/>
    <w:rsid w:val="008F5FF8"/>
    <w:rsid w:val="00901440"/>
    <w:rsid w:val="00916929"/>
    <w:rsid w:val="009411C0"/>
    <w:rsid w:val="00974BD4"/>
    <w:rsid w:val="00975687"/>
    <w:rsid w:val="0098092E"/>
    <w:rsid w:val="009B344C"/>
    <w:rsid w:val="009B6D79"/>
    <w:rsid w:val="009C3B84"/>
    <w:rsid w:val="009D145F"/>
    <w:rsid w:val="009E1E8B"/>
    <w:rsid w:val="009E4267"/>
    <w:rsid w:val="00A029DF"/>
    <w:rsid w:val="00A419FF"/>
    <w:rsid w:val="00A57834"/>
    <w:rsid w:val="00AC029E"/>
    <w:rsid w:val="00AE4386"/>
    <w:rsid w:val="00B260E5"/>
    <w:rsid w:val="00B34824"/>
    <w:rsid w:val="00B8729C"/>
    <w:rsid w:val="00BA6D9F"/>
    <w:rsid w:val="00BB2830"/>
    <w:rsid w:val="00BB6E24"/>
    <w:rsid w:val="00BE5CB5"/>
    <w:rsid w:val="00C01ADC"/>
    <w:rsid w:val="00C0752D"/>
    <w:rsid w:val="00C216D5"/>
    <w:rsid w:val="00C4031E"/>
    <w:rsid w:val="00C543A3"/>
    <w:rsid w:val="00C56828"/>
    <w:rsid w:val="00C66C2D"/>
    <w:rsid w:val="00C81ECD"/>
    <w:rsid w:val="00C93D98"/>
    <w:rsid w:val="00C97CB7"/>
    <w:rsid w:val="00C97F81"/>
    <w:rsid w:val="00CB1C2D"/>
    <w:rsid w:val="00CC38A1"/>
    <w:rsid w:val="00CC7C27"/>
    <w:rsid w:val="00CD1E46"/>
    <w:rsid w:val="00CF6722"/>
    <w:rsid w:val="00D272A7"/>
    <w:rsid w:val="00D66161"/>
    <w:rsid w:val="00D8469F"/>
    <w:rsid w:val="00DC0368"/>
    <w:rsid w:val="00DC0F87"/>
    <w:rsid w:val="00DC474D"/>
    <w:rsid w:val="00DD2962"/>
    <w:rsid w:val="00E44960"/>
    <w:rsid w:val="00E55104"/>
    <w:rsid w:val="00E55176"/>
    <w:rsid w:val="00E659AF"/>
    <w:rsid w:val="00EA02CE"/>
    <w:rsid w:val="00EB5CB1"/>
    <w:rsid w:val="00ED03E5"/>
    <w:rsid w:val="00EE76D5"/>
    <w:rsid w:val="00EF7686"/>
    <w:rsid w:val="00F17CCF"/>
    <w:rsid w:val="00F34663"/>
    <w:rsid w:val="00F437EB"/>
    <w:rsid w:val="00F6300A"/>
    <w:rsid w:val="00F9282F"/>
    <w:rsid w:val="00F92EFE"/>
    <w:rsid w:val="00FB5020"/>
    <w:rsid w:val="00FE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FFC3B42-E315-42CE-9A3C-527DED7A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Bullets,Dot pt"/>
    <w:basedOn w:val="Normal"/>
    <w:link w:val="ListParagraphChar"/>
    <w:uiPriority w:val="34"/>
    <w:qFormat/>
    <w:rsid w:val="00EA02CE"/>
    <w:pPr>
      <w:ind w:left="720"/>
      <w:contextualSpacing/>
    </w:pPr>
  </w:style>
  <w:style w:type="paragraph" w:styleId="BalloonText">
    <w:name w:val="Balloon Text"/>
    <w:basedOn w:val="Normal"/>
    <w:link w:val="BalloonTextChar"/>
    <w:uiPriority w:val="99"/>
    <w:semiHidden/>
    <w:unhideWhenUsed/>
    <w:rsid w:val="00F92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EFE"/>
    <w:rPr>
      <w:rFonts w:ascii="Segoe UI" w:hAnsi="Segoe UI" w:cs="Segoe UI"/>
      <w:sz w:val="18"/>
      <w:szCs w:val="18"/>
    </w:rPr>
  </w:style>
  <w:style w:type="paragraph" w:styleId="Header">
    <w:name w:val="header"/>
    <w:basedOn w:val="Normal"/>
    <w:link w:val="HeaderChar"/>
    <w:uiPriority w:val="99"/>
    <w:unhideWhenUsed/>
    <w:rsid w:val="007E3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340"/>
  </w:style>
  <w:style w:type="paragraph" w:styleId="Footer">
    <w:name w:val="footer"/>
    <w:basedOn w:val="Normal"/>
    <w:link w:val="FooterChar"/>
    <w:uiPriority w:val="99"/>
    <w:unhideWhenUsed/>
    <w:rsid w:val="007E3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340"/>
  </w:style>
  <w:style w:type="paragraph" w:styleId="ListBullet">
    <w:name w:val="List Bullet"/>
    <w:basedOn w:val="ListBullet5"/>
    <w:rsid w:val="00093F30"/>
    <w:pPr>
      <w:numPr>
        <w:numId w:val="10"/>
      </w:numPr>
      <w:spacing w:after="240" w:line="288" w:lineRule="auto"/>
      <w:ind w:left="714" w:hanging="357"/>
    </w:pPr>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F5 List Paragraph Char,List Paragraph1 Char,List Paragraph11 Char,Bullets Char,Dot pt Char"/>
    <w:link w:val="ListParagraph"/>
    <w:uiPriority w:val="34"/>
    <w:locked/>
    <w:rsid w:val="00093F30"/>
  </w:style>
  <w:style w:type="paragraph" w:customStyle="1" w:styleId="Default">
    <w:name w:val="Default"/>
    <w:rsid w:val="00093F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Bullet5">
    <w:name w:val="List Bullet 5"/>
    <w:basedOn w:val="Normal"/>
    <w:uiPriority w:val="99"/>
    <w:semiHidden/>
    <w:unhideWhenUsed/>
    <w:rsid w:val="00093F30"/>
    <w:pPr>
      <w:numPr>
        <w:numId w:val="11"/>
      </w:numPr>
      <w:contextualSpacing/>
    </w:pPr>
  </w:style>
  <w:style w:type="paragraph" w:styleId="Revision">
    <w:name w:val="Revision"/>
    <w:hidden/>
    <w:uiPriority w:val="99"/>
    <w:semiHidden/>
    <w:rsid w:val="003E7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79664">
      <w:bodyDiv w:val="1"/>
      <w:marLeft w:val="0"/>
      <w:marRight w:val="0"/>
      <w:marTop w:val="0"/>
      <w:marBottom w:val="0"/>
      <w:divBdr>
        <w:top w:val="none" w:sz="0" w:space="0" w:color="auto"/>
        <w:left w:val="none" w:sz="0" w:space="0" w:color="auto"/>
        <w:bottom w:val="none" w:sz="0" w:space="0" w:color="auto"/>
        <w:right w:val="none" w:sz="0" w:space="0" w:color="auto"/>
      </w:divBdr>
      <w:divsChild>
        <w:div w:id="2025473173">
          <w:marLeft w:val="360"/>
          <w:marRight w:val="0"/>
          <w:marTop w:val="120"/>
          <w:marBottom w:val="0"/>
          <w:divBdr>
            <w:top w:val="none" w:sz="0" w:space="0" w:color="auto"/>
            <w:left w:val="none" w:sz="0" w:space="0" w:color="auto"/>
            <w:bottom w:val="none" w:sz="0" w:space="0" w:color="auto"/>
            <w:right w:val="none" w:sz="0" w:space="0" w:color="auto"/>
          </w:divBdr>
        </w:div>
        <w:div w:id="2085253483">
          <w:marLeft w:val="360"/>
          <w:marRight w:val="0"/>
          <w:marTop w:val="120"/>
          <w:marBottom w:val="0"/>
          <w:divBdr>
            <w:top w:val="none" w:sz="0" w:space="0" w:color="auto"/>
            <w:left w:val="none" w:sz="0" w:space="0" w:color="auto"/>
            <w:bottom w:val="none" w:sz="0" w:space="0" w:color="auto"/>
            <w:right w:val="none" w:sz="0" w:space="0" w:color="auto"/>
          </w:divBdr>
        </w:div>
        <w:div w:id="1829441665">
          <w:marLeft w:val="360"/>
          <w:marRight w:val="0"/>
          <w:marTop w:val="120"/>
          <w:marBottom w:val="0"/>
          <w:divBdr>
            <w:top w:val="none" w:sz="0" w:space="0" w:color="auto"/>
            <w:left w:val="none" w:sz="0" w:space="0" w:color="auto"/>
            <w:bottom w:val="none" w:sz="0" w:space="0" w:color="auto"/>
            <w:right w:val="none" w:sz="0" w:space="0" w:color="auto"/>
          </w:divBdr>
        </w:div>
      </w:divsChild>
    </w:div>
    <w:div w:id="856574851">
      <w:bodyDiv w:val="1"/>
      <w:marLeft w:val="0"/>
      <w:marRight w:val="0"/>
      <w:marTop w:val="0"/>
      <w:marBottom w:val="0"/>
      <w:divBdr>
        <w:top w:val="none" w:sz="0" w:space="0" w:color="auto"/>
        <w:left w:val="none" w:sz="0" w:space="0" w:color="auto"/>
        <w:bottom w:val="none" w:sz="0" w:space="0" w:color="auto"/>
        <w:right w:val="none" w:sz="0" w:space="0" w:color="auto"/>
      </w:divBdr>
      <w:divsChild>
        <w:div w:id="2033652411">
          <w:marLeft w:val="360"/>
          <w:marRight w:val="0"/>
          <w:marTop w:val="120"/>
          <w:marBottom w:val="0"/>
          <w:divBdr>
            <w:top w:val="none" w:sz="0" w:space="0" w:color="auto"/>
            <w:left w:val="none" w:sz="0" w:space="0" w:color="auto"/>
            <w:bottom w:val="none" w:sz="0" w:space="0" w:color="auto"/>
            <w:right w:val="none" w:sz="0" w:space="0" w:color="auto"/>
          </w:divBdr>
        </w:div>
        <w:div w:id="1331299608">
          <w:marLeft w:val="360"/>
          <w:marRight w:val="0"/>
          <w:marTop w:val="120"/>
          <w:marBottom w:val="0"/>
          <w:divBdr>
            <w:top w:val="none" w:sz="0" w:space="0" w:color="auto"/>
            <w:left w:val="none" w:sz="0" w:space="0" w:color="auto"/>
            <w:bottom w:val="none" w:sz="0" w:space="0" w:color="auto"/>
            <w:right w:val="none" w:sz="0" w:space="0" w:color="auto"/>
          </w:divBdr>
        </w:div>
        <w:div w:id="258022912">
          <w:marLeft w:val="360"/>
          <w:marRight w:val="0"/>
          <w:marTop w:val="120"/>
          <w:marBottom w:val="0"/>
          <w:divBdr>
            <w:top w:val="none" w:sz="0" w:space="0" w:color="auto"/>
            <w:left w:val="none" w:sz="0" w:space="0" w:color="auto"/>
            <w:bottom w:val="none" w:sz="0" w:space="0" w:color="auto"/>
            <w:right w:val="none" w:sz="0" w:space="0" w:color="auto"/>
          </w:divBdr>
        </w:div>
        <w:div w:id="401031334">
          <w:marLeft w:val="360"/>
          <w:marRight w:val="0"/>
          <w:marTop w:val="120"/>
          <w:marBottom w:val="0"/>
          <w:divBdr>
            <w:top w:val="none" w:sz="0" w:space="0" w:color="auto"/>
            <w:left w:val="none" w:sz="0" w:space="0" w:color="auto"/>
            <w:bottom w:val="none" w:sz="0" w:space="0" w:color="auto"/>
            <w:right w:val="none" w:sz="0" w:space="0" w:color="auto"/>
          </w:divBdr>
        </w:div>
      </w:divsChild>
    </w:div>
    <w:div w:id="911890174">
      <w:bodyDiv w:val="1"/>
      <w:marLeft w:val="0"/>
      <w:marRight w:val="0"/>
      <w:marTop w:val="0"/>
      <w:marBottom w:val="0"/>
      <w:divBdr>
        <w:top w:val="none" w:sz="0" w:space="0" w:color="auto"/>
        <w:left w:val="none" w:sz="0" w:space="0" w:color="auto"/>
        <w:bottom w:val="none" w:sz="0" w:space="0" w:color="auto"/>
        <w:right w:val="none" w:sz="0" w:space="0" w:color="auto"/>
      </w:divBdr>
    </w:div>
    <w:div w:id="963073992">
      <w:bodyDiv w:val="1"/>
      <w:marLeft w:val="0"/>
      <w:marRight w:val="0"/>
      <w:marTop w:val="0"/>
      <w:marBottom w:val="0"/>
      <w:divBdr>
        <w:top w:val="none" w:sz="0" w:space="0" w:color="auto"/>
        <w:left w:val="none" w:sz="0" w:space="0" w:color="auto"/>
        <w:bottom w:val="none" w:sz="0" w:space="0" w:color="auto"/>
        <w:right w:val="none" w:sz="0" w:space="0" w:color="auto"/>
      </w:divBdr>
    </w:div>
    <w:div w:id="1187869187">
      <w:bodyDiv w:val="1"/>
      <w:marLeft w:val="0"/>
      <w:marRight w:val="0"/>
      <w:marTop w:val="0"/>
      <w:marBottom w:val="0"/>
      <w:divBdr>
        <w:top w:val="none" w:sz="0" w:space="0" w:color="auto"/>
        <w:left w:val="none" w:sz="0" w:space="0" w:color="auto"/>
        <w:bottom w:val="none" w:sz="0" w:space="0" w:color="auto"/>
        <w:right w:val="none" w:sz="0" w:space="0" w:color="auto"/>
      </w:divBdr>
    </w:div>
    <w:div w:id="1602374439">
      <w:bodyDiv w:val="1"/>
      <w:marLeft w:val="0"/>
      <w:marRight w:val="0"/>
      <w:marTop w:val="0"/>
      <w:marBottom w:val="0"/>
      <w:divBdr>
        <w:top w:val="none" w:sz="0" w:space="0" w:color="auto"/>
        <w:left w:val="none" w:sz="0" w:space="0" w:color="auto"/>
        <w:bottom w:val="none" w:sz="0" w:space="0" w:color="auto"/>
        <w:right w:val="none" w:sz="0" w:space="0" w:color="auto"/>
      </w:divBdr>
      <w:divsChild>
        <w:div w:id="2028099179">
          <w:marLeft w:val="360"/>
          <w:marRight w:val="0"/>
          <w:marTop w:val="120"/>
          <w:marBottom w:val="0"/>
          <w:divBdr>
            <w:top w:val="none" w:sz="0" w:space="0" w:color="auto"/>
            <w:left w:val="none" w:sz="0" w:space="0" w:color="auto"/>
            <w:bottom w:val="none" w:sz="0" w:space="0" w:color="auto"/>
            <w:right w:val="none" w:sz="0" w:space="0" w:color="auto"/>
          </w:divBdr>
        </w:div>
        <w:div w:id="1718118493">
          <w:marLeft w:val="360"/>
          <w:marRight w:val="0"/>
          <w:marTop w:val="120"/>
          <w:marBottom w:val="0"/>
          <w:divBdr>
            <w:top w:val="none" w:sz="0" w:space="0" w:color="auto"/>
            <w:left w:val="none" w:sz="0" w:space="0" w:color="auto"/>
            <w:bottom w:val="none" w:sz="0" w:space="0" w:color="auto"/>
            <w:right w:val="none" w:sz="0" w:space="0" w:color="auto"/>
          </w:divBdr>
        </w:div>
        <w:div w:id="378016176">
          <w:marLeft w:val="360"/>
          <w:marRight w:val="0"/>
          <w:marTop w:val="120"/>
          <w:marBottom w:val="0"/>
          <w:divBdr>
            <w:top w:val="none" w:sz="0" w:space="0" w:color="auto"/>
            <w:left w:val="none" w:sz="0" w:space="0" w:color="auto"/>
            <w:bottom w:val="none" w:sz="0" w:space="0" w:color="auto"/>
            <w:right w:val="none" w:sz="0" w:space="0" w:color="auto"/>
          </w:divBdr>
        </w:div>
        <w:div w:id="733821008">
          <w:marLeft w:val="360"/>
          <w:marRight w:val="0"/>
          <w:marTop w:val="120"/>
          <w:marBottom w:val="0"/>
          <w:divBdr>
            <w:top w:val="none" w:sz="0" w:space="0" w:color="auto"/>
            <w:left w:val="none" w:sz="0" w:space="0" w:color="auto"/>
            <w:bottom w:val="none" w:sz="0" w:space="0" w:color="auto"/>
            <w:right w:val="none" w:sz="0" w:space="0" w:color="auto"/>
          </w:divBdr>
        </w:div>
      </w:divsChild>
    </w:div>
    <w:div w:id="1741095347">
      <w:bodyDiv w:val="1"/>
      <w:marLeft w:val="0"/>
      <w:marRight w:val="0"/>
      <w:marTop w:val="0"/>
      <w:marBottom w:val="0"/>
      <w:divBdr>
        <w:top w:val="none" w:sz="0" w:space="0" w:color="auto"/>
        <w:left w:val="none" w:sz="0" w:space="0" w:color="auto"/>
        <w:bottom w:val="none" w:sz="0" w:space="0" w:color="auto"/>
        <w:right w:val="none" w:sz="0" w:space="0" w:color="auto"/>
      </w:divBdr>
      <w:divsChild>
        <w:div w:id="195583395">
          <w:marLeft w:val="0"/>
          <w:marRight w:val="0"/>
          <w:marTop w:val="0"/>
          <w:marBottom w:val="0"/>
          <w:divBdr>
            <w:top w:val="none" w:sz="0" w:space="0" w:color="auto"/>
            <w:left w:val="none" w:sz="0" w:space="0" w:color="auto"/>
            <w:bottom w:val="none" w:sz="0" w:space="0" w:color="auto"/>
            <w:right w:val="none" w:sz="0" w:space="0" w:color="auto"/>
          </w:divBdr>
          <w:divsChild>
            <w:div w:id="1138377946">
              <w:marLeft w:val="-300"/>
              <w:marRight w:val="0"/>
              <w:marTop w:val="0"/>
              <w:marBottom w:val="0"/>
              <w:divBdr>
                <w:top w:val="none" w:sz="0" w:space="0" w:color="auto"/>
                <w:left w:val="none" w:sz="0" w:space="0" w:color="auto"/>
                <w:bottom w:val="none" w:sz="0" w:space="0" w:color="auto"/>
                <w:right w:val="none" w:sz="0" w:space="0" w:color="auto"/>
              </w:divBdr>
              <w:divsChild>
                <w:div w:id="1556817230">
                  <w:marLeft w:val="0"/>
                  <w:marRight w:val="0"/>
                  <w:marTop w:val="0"/>
                  <w:marBottom w:val="0"/>
                  <w:divBdr>
                    <w:top w:val="none" w:sz="0" w:space="0" w:color="auto"/>
                    <w:left w:val="none" w:sz="0" w:space="0" w:color="auto"/>
                    <w:bottom w:val="none" w:sz="0" w:space="0" w:color="auto"/>
                    <w:right w:val="none" w:sz="0" w:space="0" w:color="auto"/>
                  </w:divBdr>
                  <w:divsChild>
                    <w:div w:id="1821725080">
                      <w:marLeft w:val="0"/>
                      <w:marRight w:val="0"/>
                      <w:marTop w:val="0"/>
                      <w:marBottom w:val="0"/>
                      <w:divBdr>
                        <w:top w:val="none" w:sz="0" w:space="0" w:color="auto"/>
                        <w:left w:val="none" w:sz="0" w:space="0" w:color="auto"/>
                        <w:bottom w:val="none" w:sz="0" w:space="0" w:color="auto"/>
                        <w:right w:val="none" w:sz="0" w:space="0" w:color="auto"/>
                      </w:divBdr>
                      <w:divsChild>
                        <w:div w:id="1953592454">
                          <w:marLeft w:val="0"/>
                          <w:marRight w:val="0"/>
                          <w:marTop w:val="0"/>
                          <w:marBottom w:val="0"/>
                          <w:divBdr>
                            <w:top w:val="none" w:sz="0" w:space="0" w:color="auto"/>
                            <w:left w:val="none" w:sz="0" w:space="0" w:color="auto"/>
                            <w:bottom w:val="none" w:sz="0" w:space="0" w:color="auto"/>
                            <w:right w:val="none" w:sz="0" w:space="0" w:color="auto"/>
                          </w:divBdr>
                          <w:divsChild>
                            <w:div w:id="12963743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F44C5-41F1-4351-9573-38457786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Tween, Holly</cp:lastModifiedBy>
  <cp:revision>3</cp:revision>
  <cp:lastPrinted>2017-09-22T15:07:00Z</cp:lastPrinted>
  <dcterms:created xsi:type="dcterms:W3CDTF">2017-10-10T20:43:00Z</dcterms:created>
  <dcterms:modified xsi:type="dcterms:W3CDTF">2017-10-11T08:35:00Z</dcterms:modified>
</cp:coreProperties>
</file>